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365" w:type="dxa"/>
        <w:jc w:val="center"/>
        <w:tblLook w:val="04A0" w:firstRow="1" w:lastRow="0" w:firstColumn="1" w:lastColumn="0" w:noHBand="0" w:noVBand="1"/>
      </w:tblPr>
      <w:tblGrid>
        <w:gridCol w:w="9365"/>
      </w:tblGrid>
      <w:tr w:rsidR="00B97160" w:rsidRPr="008D23BA" w:rsidTr="009C61F3">
        <w:trPr>
          <w:trHeight w:val="360"/>
          <w:jc w:val="center"/>
        </w:trPr>
        <w:tc>
          <w:tcPr>
            <w:tcW w:w="9365" w:type="dxa"/>
            <w:hideMark/>
          </w:tcPr>
          <w:p w:rsidR="00B97160" w:rsidRPr="008D23BA" w:rsidRDefault="00B97160" w:rsidP="009C61F3">
            <w:pPr>
              <w:suppressLineNumbers/>
              <w:spacing w:line="360" w:lineRule="auto"/>
              <w:ind w:left="319"/>
              <w:rPr>
                <w:b/>
                <w:bCs/>
                <w:sz w:val="26"/>
                <w:szCs w:val="26"/>
                <w:u w:val="single"/>
              </w:rPr>
            </w:pPr>
            <w:bookmarkStart w:id="0" w:name="_GoBack"/>
            <w:bookmarkEnd w:id="0"/>
            <w:r w:rsidRPr="008D23BA">
              <w:rPr>
                <w:b/>
                <w:bCs/>
                <w:sz w:val="26"/>
                <w:szCs w:val="26"/>
                <w:u w:val="single"/>
                <w:rtl/>
              </w:rPr>
              <w:t>לפני כבוד השופט ארז שני</w:t>
            </w:r>
          </w:p>
        </w:tc>
      </w:tr>
    </w:tbl>
    <w:tbl>
      <w:tblPr>
        <w:tblStyle w:val="a7"/>
        <w:bidiVisual/>
        <w:tblW w:w="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5734"/>
      </w:tblGrid>
      <w:tr w:rsidR="00B97160" w:rsidRPr="008D23BA" w:rsidTr="009C61F3">
        <w:tc>
          <w:tcPr>
            <w:tcW w:w="3246" w:type="dxa"/>
            <w:hideMark/>
          </w:tcPr>
          <w:p w:rsidR="00B97160" w:rsidRPr="008D23BA" w:rsidRDefault="00B97160" w:rsidP="009C61F3">
            <w:pPr>
              <w:suppressLineNumbers/>
              <w:jc w:val="left"/>
              <w:rPr>
                <w:b/>
                <w:bCs/>
              </w:rPr>
            </w:pPr>
            <w:r w:rsidRPr="008D23BA">
              <w:rPr>
                <w:b/>
                <w:bCs/>
                <w:rtl/>
              </w:rPr>
              <w:t>התובע:</w:t>
            </w:r>
          </w:p>
        </w:tc>
        <w:tc>
          <w:tcPr>
            <w:tcW w:w="5734" w:type="dxa"/>
          </w:tcPr>
          <w:p w:rsidR="00B97160" w:rsidRPr="008D23BA" w:rsidRDefault="00F21295" w:rsidP="00F21295">
            <w:pPr>
              <w:suppressLineNumbers/>
              <w:jc w:val="left"/>
              <w:rPr>
                <w:rtl/>
              </w:rPr>
            </w:pPr>
            <w:r>
              <w:rPr>
                <w:b/>
                <w:bCs/>
                <w:rtl/>
              </w:rPr>
              <w:t>א</w:t>
            </w:r>
            <w:r>
              <w:rPr>
                <w:rFonts w:hint="cs"/>
                <w:b/>
                <w:bCs/>
                <w:rtl/>
              </w:rPr>
              <w:t>.</w:t>
            </w:r>
            <w:r>
              <w:rPr>
                <w:b/>
                <w:bCs/>
                <w:rtl/>
              </w:rPr>
              <w:t xml:space="preserve"> פ</w:t>
            </w:r>
            <w:r>
              <w:rPr>
                <w:rFonts w:hint="cs"/>
                <w:b/>
                <w:bCs/>
                <w:rtl/>
              </w:rPr>
              <w:t>.</w:t>
            </w:r>
          </w:p>
          <w:p w:rsidR="00B97160" w:rsidRPr="008D23BA" w:rsidRDefault="00B97160" w:rsidP="009C61F3">
            <w:pPr>
              <w:suppressLineNumbers/>
              <w:jc w:val="left"/>
              <w:rPr>
                <w:b/>
                <w:bCs/>
              </w:rPr>
            </w:pPr>
          </w:p>
        </w:tc>
      </w:tr>
      <w:tr w:rsidR="00B97160" w:rsidRPr="008D23BA" w:rsidTr="009C61F3">
        <w:tc>
          <w:tcPr>
            <w:tcW w:w="8980" w:type="dxa"/>
            <w:gridSpan w:val="2"/>
          </w:tcPr>
          <w:p w:rsidR="00B97160" w:rsidRPr="008D23BA" w:rsidRDefault="00B97160" w:rsidP="009C61F3">
            <w:pPr>
              <w:suppressLineNumbers/>
              <w:jc w:val="center"/>
              <w:rPr>
                <w:b/>
                <w:bCs/>
                <w:rtl/>
              </w:rPr>
            </w:pPr>
            <w:r w:rsidRPr="008D23BA">
              <w:rPr>
                <w:b/>
                <w:bCs/>
                <w:rtl/>
              </w:rPr>
              <w:t>נגד</w:t>
            </w:r>
          </w:p>
          <w:p w:rsidR="00B97160" w:rsidRPr="008D23BA" w:rsidRDefault="00B97160" w:rsidP="009C61F3">
            <w:pPr>
              <w:suppressLineNumbers/>
              <w:rPr>
                <w:b/>
                <w:bCs/>
                <w:rtl/>
              </w:rPr>
            </w:pPr>
          </w:p>
        </w:tc>
      </w:tr>
      <w:tr w:rsidR="00B97160" w:rsidRPr="008D23BA" w:rsidTr="009C61F3">
        <w:trPr>
          <w:trHeight w:val="740"/>
        </w:trPr>
        <w:tc>
          <w:tcPr>
            <w:tcW w:w="3246" w:type="dxa"/>
            <w:hideMark/>
          </w:tcPr>
          <w:p w:rsidR="00B97160" w:rsidRPr="008D23BA" w:rsidRDefault="00B97160" w:rsidP="009C61F3">
            <w:pPr>
              <w:suppressLineNumbers/>
              <w:jc w:val="left"/>
              <w:rPr>
                <w:b/>
                <w:bCs/>
                <w:rtl/>
              </w:rPr>
            </w:pPr>
            <w:r w:rsidRPr="008D23BA">
              <w:rPr>
                <w:b/>
                <w:bCs/>
                <w:rtl/>
              </w:rPr>
              <w:t>הנתבעת:</w:t>
            </w:r>
          </w:p>
        </w:tc>
        <w:tc>
          <w:tcPr>
            <w:tcW w:w="5734" w:type="dxa"/>
            <w:hideMark/>
          </w:tcPr>
          <w:p w:rsidR="00B97160" w:rsidRPr="008D23BA" w:rsidRDefault="00F21295" w:rsidP="00F21295">
            <w:pPr>
              <w:suppressLineNumbers/>
              <w:jc w:val="left"/>
              <w:rPr>
                <w:b/>
                <w:bCs/>
                <w:rtl/>
              </w:rPr>
            </w:pPr>
            <w:r>
              <w:rPr>
                <w:b/>
                <w:bCs/>
                <w:rtl/>
              </w:rPr>
              <w:t>ע</w:t>
            </w:r>
            <w:r>
              <w:rPr>
                <w:rFonts w:hint="cs"/>
                <w:b/>
                <w:bCs/>
                <w:rtl/>
              </w:rPr>
              <w:t>.</w:t>
            </w:r>
            <w:r>
              <w:rPr>
                <w:b/>
                <w:bCs/>
                <w:rtl/>
              </w:rPr>
              <w:t xml:space="preserve"> ס</w:t>
            </w:r>
            <w:r>
              <w:rPr>
                <w:rFonts w:hint="cs"/>
                <w:b/>
                <w:bCs/>
                <w:rtl/>
              </w:rPr>
              <w:t>.</w:t>
            </w:r>
          </w:p>
        </w:tc>
      </w:tr>
    </w:tbl>
    <w:p w:rsidR="00B97160" w:rsidRDefault="00B97160" w:rsidP="00B97160">
      <w:pPr>
        <w:jc w:val="both"/>
        <w:rPr>
          <w:sz w:val="6"/>
          <w:szCs w:val="6"/>
          <w:rtl/>
        </w:rPr>
      </w:pPr>
      <w:r>
        <w:rPr>
          <w:rFonts w:hint="cs"/>
          <w:sz w:val="6"/>
          <w:szCs w:val="6"/>
          <w:rtl/>
        </w:rPr>
        <w:t>&lt;#1#&gt;</w:t>
      </w:r>
    </w:p>
    <w:p w:rsidR="00B97160" w:rsidRDefault="00B97160" w:rsidP="00B97160">
      <w:pPr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t>נוכחים:</w:t>
      </w:r>
    </w:p>
    <w:p w:rsidR="00B97160" w:rsidRDefault="00B97160" w:rsidP="00B97160">
      <w:r>
        <w:rPr>
          <w:rFonts w:hint="cs"/>
          <w:b/>
          <w:bCs/>
          <w:u w:val="single"/>
          <w:rtl/>
        </w:rPr>
        <w:t>התובע ובאת כוחו</w:t>
      </w:r>
      <w:r>
        <w:rPr>
          <w:rFonts w:hint="cs"/>
          <w:rtl/>
        </w:rPr>
        <w:t xml:space="preserve"> – עורכת דין טלי בן יקיר </w:t>
      </w:r>
    </w:p>
    <w:p w:rsidR="00B97160" w:rsidRDefault="00B97160" w:rsidP="00B97160">
      <w:pPr>
        <w:rPr>
          <w:rtl/>
        </w:rPr>
      </w:pPr>
      <w:r>
        <w:rPr>
          <w:rFonts w:hint="cs"/>
          <w:b/>
          <w:bCs/>
          <w:u w:val="single"/>
          <w:rtl/>
        </w:rPr>
        <w:t>הנתבעת ובאות כוחה</w:t>
      </w:r>
      <w:r>
        <w:rPr>
          <w:rFonts w:hint="cs"/>
          <w:rtl/>
        </w:rPr>
        <w:t xml:space="preserve"> – עורך דין עינת טירר; עורכת דין קרין פפרקוכן</w:t>
      </w:r>
    </w:p>
    <w:p w:rsidR="00B97160" w:rsidRDefault="00B97160" w:rsidP="00B97160">
      <w:pPr>
        <w:rPr>
          <w:rtl/>
        </w:rPr>
      </w:pPr>
      <w:r>
        <w:rPr>
          <w:rFonts w:hint="cs"/>
          <w:b/>
          <w:bCs/>
          <w:u w:val="single"/>
          <w:rtl/>
        </w:rPr>
        <w:t>האפוטרופא לדין לקטינה</w:t>
      </w:r>
      <w:r>
        <w:rPr>
          <w:rFonts w:hint="cs"/>
          <w:rtl/>
        </w:rPr>
        <w:t xml:space="preserve"> – עורכת דין מירב פלד</w:t>
      </w:r>
    </w:p>
    <w:p w:rsidR="00B97160" w:rsidRDefault="00B97160" w:rsidP="00B97160">
      <w:pPr>
        <w:rPr>
          <w:rtl/>
        </w:rPr>
      </w:pPr>
    </w:p>
    <w:p w:rsidR="00B97160" w:rsidRDefault="00B97160" w:rsidP="00B97160">
      <w:pPr>
        <w:spacing w:line="360" w:lineRule="auto"/>
        <w:jc w:val="center"/>
        <w:rPr>
          <w:rFonts w:ascii="FrankRuehl" w:hAnsi="FrankRuehl" w:cs="FrankRuehl"/>
          <w:b/>
          <w:bCs/>
          <w:sz w:val="32"/>
          <w:szCs w:val="32"/>
          <w:u w:val="single"/>
          <w:rtl/>
        </w:rPr>
      </w:pPr>
      <w:r>
        <w:rPr>
          <w:rFonts w:ascii="FrankRuehl" w:hAnsi="FrankRuehl" w:cs="FrankRuehl"/>
          <w:b/>
          <w:bCs/>
          <w:sz w:val="32"/>
          <w:szCs w:val="32"/>
          <w:u w:val="single"/>
          <w:rtl/>
        </w:rPr>
        <w:t>החלטה</w:t>
      </w:r>
    </w:p>
    <w:p w:rsidR="00B97160" w:rsidRDefault="00B97160" w:rsidP="00B97160">
      <w:pPr>
        <w:spacing w:line="360" w:lineRule="auto"/>
        <w:jc w:val="center"/>
        <w:rPr>
          <w:rFonts w:ascii="FrankRuehl" w:hAnsi="FrankRuehl" w:cs="FrankRuehl"/>
          <w:b/>
          <w:bCs/>
          <w:sz w:val="32"/>
          <w:szCs w:val="32"/>
          <w:u w:val="single"/>
          <w:rtl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>
        <w:rPr>
          <w:rFonts w:ascii="FrankRuehl" w:hAnsi="FrankRuehl" w:cs="FrankRuehl"/>
          <w:sz w:val="28"/>
          <w:szCs w:val="28"/>
          <w:rtl/>
        </w:rPr>
        <w:t>ביום 20.04.2023 הניח אב בבית המשפט תובענה לשינוי זמני שהיה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>
        <w:rPr>
          <w:rFonts w:ascii="FrankRuehl" w:hAnsi="FrankRuehl" w:cs="FrankRuehl"/>
          <w:sz w:val="28"/>
          <w:szCs w:val="28"/>
          <w:rtl/>
        </w:rPr>
        <w:t xml:space="preserve"> נוכח </w:t>
      </w:r>
      <w:r w:rsidRPr="00C33E17">
        <w:rPr>
          <w:rFonts w:ascii="FrankRuehl" w:hAnsi="FrankRuehl" w:cs="FrankRuehl" w:hint="cs"/>
          <w:b/>
          <w:bCs/>
          <w:i/>
          <w:iCs/>
          <w:sz w:val="28"/>
          <w:szCs w:val="28"/>
          <w:rtl/>
        </w:rPr>
        <w:t>"</w:t>
      </w:r>
      <w:r w:rsidRPr="00C33E17">
        <w:rPr>
          <w:rFonts w:ascii="FrankRuehl" w:hAnsi="FrankRuehl" w:cs="FrankRuehl"/>
          <w:b/>
          <w:bCs/>
          <w:i/>
          <w:iCs/>
          <w:sz w:val="28"/>
          <w:szCs w:val="28"/>
          <w:rtl/>
        </w:rPr>
        <w:t>תסמונת ניכור הורי</w:t>
      </w:r>
      <w:r w:rsidRPr="00C33E17">
        <w:rPr>
          <w:rFonts w:ascii="FrankRuehl" w:hAnsi="FrankRuehl" w:cs="FrankRuehl" w:hint="cs"/>
          <w:b/>
          <w:bCs/>
          <w:i/>
          <w:iCs/>
          <w:sz w:val="28"/>
          <w:szCs w:val="28"/>
          <w:rtl/>
        </w:rPr>
        <w:t xml:space="preserve"> בדרגה חמורה ביותר והעברת החזקה לאלתר לאב"</w:t>
      </w:r>
      <w:r>
        <w:rPr>
          <w:rFonts w:ascii="FrankRuehl" w:hAnsi="FrankRuehl" w:cs="FrankRuehl"/>
          <w:sz w:val="28"/>
          <w:szCs w:val="28"/>
          <w:rtl/>
        </w:rPr>
        <w:t xml:space="preserve">, כך לשונו. </w:t>
      </w:r>
    </w:p>
    <w:p w:rsidR="00B97160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</w:rPr>
      </w:pPr>
      <w:r>
        <w:rPr>
          <w:rFonts w:ascii="FrankRuehl" w:hAnsi="FrankRuehl" w:cs="FrankRuehl"/>
          <w:sz w:val="28"/>
          <w:szCs w:val="28"/>
          <w:rtl/>
        </w:rPr>
        <w:t xml:space="preserve">על דרישה זו חזר האב גם </w:t>
      </w:r>
      <w:r>
        <w:rPr>
          <w:rFonts w:ascii="FrankRuehl" w:hAnsi="FrankRuehl" w:cs="FrankRuehl" w:hint="cs"/>
          <w:sz w:val="28"/>
          <w:szCs w:val="28"/>
          <w:rtl/>
        </w:rPr>
        <w:t xml:space="preserve">בדיון </w:t>
      </w:r>
      <w:r>
        <w:rPr>
          <w:rFonts w:ascii="FrankRuehl" w:hAnsi="FrankRuehl" w:cs="FrankRuehl"/>
          <w:sz w:val="28"/>
          <w:szCs w:val="28"/>
          <w:rtl/>
        </w:rPr>
        <w:t>היום, בבחינת פתרון לבעיות אשר נוצרו בין הצדדים</w:t>
      </w:r>
      <w:r>
        <w:rPr>
          <w:rFonts w:ascii="FrankRuehl" w:hAnsi="FrankRuehl" w:cs="FrankRuehl" w:hint="cs"/>
          <w:sz w:val="28"/>
          <w:szCs w:val="28"/>
          <w:rtl/>
        </w:rPr>
        <w:t>.</w:t>
      </w:r>
      <w:r>
        <w:rPr>
          <w:rFonts w:ascii="FrankRuehl" w:hAnsi="FrankRuehl" w:cs="FrankRuehl"/>
          <w:sz w:val="28"/>
          <w:szCs w:val="28"/>
          <w:rtl/>
        </w:rPr>
        <w:t xml:space="preserve">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  <w:rtl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</w:rPr>
      </w:pPr>
      <w:r>
        <w:rPr>
          <w:rFonts w:ascii="FrankRuehl" w:hAnsi="FrankRuehl" w:cs="FrankRuehl"/>
          <w:sz w:val="28"/>
          <w:szCs w:val="28"/>
          <w:rtl/>
        </w:rPr>
        <w:t xml:space="preserve">יש לציין כי הקטינה נשוא התובענה, טרם מלאו לה שנתיים, </w:t>
      </w:r>
      <w:r>
        <w:rPr>
          <w:rFonts w:ascii="FrankRuehl" w:hAnsi="FrankRuehl" w:cs="FrankRuehl" w:hint="cs"/>
          <w:sz w:val="28"/>
          <w:szCs w:val="28"/>
          <w:rtl/>
        </w:rPr>
        <w:t>ו</w:t>
      </w:r>
      <w:r>
        <w:rPr>
          <w:rFonts w:ascii="FrankRuehl" w:hAnsi="FrankRuehl" w:cs="FrankRuehl"/>
          <w:sz w:val="28"/>
          <w:szCs w:val="28"/>
          <w:rtl/>
        </w:rPr>
        <w:t>כבר הספיקה להיות נושא ללא פחות מ</w:t>
      </w:r>
      <w:r>
        <w:rPr>
          <w:rFonts w:ascii="FrankRuehl" w:hAnsi="FrankRuehl" w:cs="FrankRuehl" w:hint="cs"/>
          <w:sz w:val="28"/>
          <w:szCs w:val="28"/>
          <w:rtl/>
        </w:rPr>
        <w:t xml:space="preserve">- </w:t>
      </w:r>
      <w:r>
        <w:rPr>
          <w:rFonts w:ascii="FrankRuehl" w:hAnsi="FrankRuehl" w:cs="FrankRuehl"/>
          <w:sz w:val="28"/>
          <w:szCs w:val="28"/>
          <w:rtl/>
        </w:rPr>
        <w:t>8 תיקים קשורים</w:t>
      </w:r>
      <w:r>
        <w:rPr>
          <w:rFonts w:ascii="FrankRuehl" w:hAnsi="FrankRuehl" w:cs="FrankRuehl" w:hint="cs"/>
          <w:sz w:val="28"/>
          <w:szCs w:val="28"/>
          <w:rtl/>
        </w:rPr>
        <w:t xml:space="preserve"> נוספים</w:t>
      </w:r>
      <w:r>
        <w:rPr>
          <w:rFonts w:ascii="FrankRuehl" w:hAnsi="FrankRuehl" w:cs="FrankRuehl"/>
          <w:sz w:val="28"/>
          <w:szCs w:val="28"/>
          <w:rtl/>
        </w:rPr>
        <w:t xml:space="preserve">, שלא לדבר בהליכים נוספים אשר התנהלו בבית המשפט המחוזי. </w:t>
      </w:r>
    </w:p>
    <w:p w:rsidR="00B97160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>
        <w:rPr>
          <w:rFonts w:ascii="FrankRuehl" w:hAnsi="FrankRuehl" w:cs="FrankRuehl"/>
          <w:sz w:val="28"/>
          <w:szCs w:val="28"/>
          <w:rtl/>
        </w:rPr>
        <w:t>ריבוי ההליכים מעיד לא רק על עצימות הסכסוך, אלא למעשה על תגובתיות יתר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>
        <w:rPr>
          <w:rFonts w:ascii="FrankRuehl" w:hAnsi="FrankRuehl" w:cs="FrankRuehl"/>
          <w:sz w:val="28"/>
          <w:szCs w:val="28"/>
          <w:rtl/>
        </w:rPr>
        <w:t xml:space="preserve"> שיש בה כדי להצביע על הצדדים עצמם.</w:t>
      </w:r>
    </w:p>
    <w:p w:rsidR="00B97160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</w:rPr>
      </w:pPr>
      <w:r>
        <w:rPr>
          <w:rFonts w:ascii="FrankRuehl" w:hAnsi="FrankRuehl" w:cs="FrankRuehl"/>
          <w:sz w:val="28"/>
          <w:szCs w:val="28"/>
          <w:rtl/>
        </w:rPr>
        <w:t>כך או אחרת, ביום 20.04.2023 סבר המותב העיקרי, כבוד השופטת א. אילוטוביץ-סגל, כי מן הראוי להניח לפניי את התובענה</w:t>
      </w:r>
      <w:r>
        <w:rPr>
          <w:rFonts w:ascii="FrankRuehl" w:hAnsi="FrankRuehl" w:cs="FrankRuehl" w:hint="cs"/>
          <w:sz w:val="28"/>
          <w:szCs w:val="28"/>
          <w:rtl/>
        </w:rPr>
        <w:t>.</w:t>
      </w:r>
      <w:r>
        <w:rPr>
          <w:rFonts w:ascii="FrankRuehl" w:hAnsi="FrankRuehl" w:cs="FrankRuehl"/>
          <w:sz w:val="28"/>
          <w:szCs w:val="28"/>
          <w:rtl/>
        </w:rPr>
        <w:t xml:space="preserve">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  <w:rtl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>
        <w:rPr>
          <w:rFonts w:ascii="FrankRuehl" w:hAnsi="FrankRuehl" w:cs="FrankRuehl"/>
          <w:sz w:val="28"/>
          <w:szCs w:val="28"/>
          <w:rtl/>
        </w:rPr>
        <w:t>בנוסף לתיקים הקשורים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>
        <w:rPr>
          <w:rFonts w:ascii="FrankRuehl" w:hAnsi="FrankRuehl" w:cs="FrankRuehl"/>
          <w:sz w:val="28"/>
          <w:szCs w:val="28"/>
          <w:rtl/>
        </w:rPr>
        <w:t xml:space="preserve"> עוד 4 הליכים </w:t>
      </w:r>
      <w:r>
        <w:rPr>
          <w:rFonts w:ascii="FrankRuehl" w:hAnsi="FrankRuehl" w:cs="FrankRuehl" w:hint="cs"/>
          <w:sz w:val="28"/>
          <w:szCs w:val="28"/>
          <w:rtl/>
        </w:rPr>
        <w:t xml:space="preserve">מתנהלים </w:t>
      </w:r>
      <w:r>
        <w:rPr>
          <w:rFonts w:ascii="FrankRuehl" w:hAnsi="FrankRuehl" w:cs="FrankRuehl"/>
          <w:sz w:val="28"/>
          <w:szCs w:val="28"/>
          <w:rtl/>
        </w:rPr>
        <w:t>בבית המשפט המחוזי</w:t>
      </w:r>
      <w:r>
        <w:rPr>
          <w:rFonts w:ascii="FrankRuehl" w:hAnsi="FrankRuehl" w:cs="FrankRuehl" w:hint="cs"/>
          <w:sz w:val="28"/>
          <w:szCs w:val="28"/>
          <w:rtl/>
        </w:rPr>
        <w:t>, וב</w:t>
      </w:r>
      <w:r>
        <w:rPr>
          <w:rFonts w:ascii="FrankRuehl" w:hAnsi="FrankRuehl" w:cs="FrankRuehl"/>
          <w:sz w:val="28"/>
          <w:szCs w:val="28"/>
          <w:rtl/>
        </w:rPr>
        <w:t xml:space="preserve">סך הכל "רק" 13 הליכים אגב שיפוט מוקד. </w:t>
      </w:r>
    </w:p>
    <w:p w:rsidR="00B97160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tl/>
        </w:rPr>
      </w:pPr>
      <w:r>
        <w:rPr>
          <w:rFonts w:ascii="FrankRuehl" w:hAnsi="FrankRuehl" w:cs="FrankRuehl"/>
          <w:sz w:val="28"/>
          <w:szCs w:val="28"/>
          <w:rtl/>
        </w:rPr>
        <w:t xml:space="preserve">האם, </w:t>
      </w:r>
      <w:r>
        <w:rPr>
          <w:rFonts w:ascii="FrankRuehl" w:hAnsi="FrankRuehl" w:cs="FrankRuehl" w:hint="cs"/>
          <w:sz w:val="28"/>
          <w:szCs w:val="28"/>
          <w:rtl/>
        </w:rPr>
        <w:t>א</w:t>
      </w:r>
      <w:r>
        <w:rPr>
          <w:rFonts w:ascii="FrankRuehl" w:hAnsi="FrankRuehl" w:cs="FrankRuehl"/>
          <w:sz w:val="28"/>
          <w:szCs w:val="28"/>
          <w:rtl/>
        </w:rPr>
        <w:t>ש</w:t>
      </w:r>
      <w:r>
        <w:rPr>
          <w:rFonts w:ascii="FrankRuehl" w:hAnsi="FrankRuehl" w:cs="FrankRuehl" w:hint="cs"/>
          <w:sz w:val="28"/>
          <w:szCs w:val="28"/>
          <w:rtl/>
        </w:rPr>
        <w:t xml:space="preserve">ר </w:t>
      </w:r>
      <w:r>
        <w:rPr>
          <w:rFonts w:ascii="FrankRuehl" w:hAnsi="FrankRuehl" w:cs="FrankRuehl"/>
          <w:sz w:val="28"/>
          <w:szCs w:val="28"/>
          <w:rtl/>
        </w:rPr>
        <w:t>עדיין לא הגישה כל עמדה מטעמה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>
        <w:rPr>
          <w:rFonts w:ascii="FrankRuehl" w:hAnsi="FrankRuehl" w:cs="FrankRuehl"/>
          <w:sz w:val="28"/>
          <w:szCs w:val="28"/>
          <w:rtl/>
        </w:rPr>
        <w:t xml:space="preserve"> אף שאת ההחלטה בדבר הדיון קבעתי עוד ביום 23.04.2023, טענה לא פחות מ- 4 פעמים כי התיק אינו ראוי לשיפוט מוקד, גם שעה שיש קשר בין האב לבין הבת וגם כיוון שלשיטתה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>
        <w:rPr>
          <w:rFonts w:ascii="FrankRuehl" w:hAnsi="FrankRuehl" w:cs="FrankRuehl"/>
          <w:sz w:val="28"/>
          <w:szCs w:val="28"/>
          <w:rtl/>
        </w:rPr>
        <w:t xml:space="preserve"> חוץ מאשר מעט קשיים, אין סיבה לשיפוט מוקד.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</w:rPr>
      </w:pPr>
      <w:r w:rsidRPr="00C33E17">
        <w:rPr>
          <w:rFonts w:ascii="FrankRuehl" w:hAnsi="FrankRuehl" w:cs="FrankRuehl"/>
          <w:sz w:val="28"/>
          <w:szCs w:val="28"/>
          <w:rtl/>
        </w:rPr>
        <w:lastRenderedPageBreak/>
        <w:t xml:space="preserve">כלל בשיפוט מוקד הוא שרשאי כל מותב עיקרי במחוז תל אביב – יפו, שעה שסובר </w:t>
      </w:r>
      <w:r>
        <w:rPr>
          <w:rFonts w:ascii="FrankRuehl" w:hAnsi="FrankRuehl" w:cs="FrankRuehl" w:hint="cs"/>
          <w:sz w:val="28"/>
          <w:szCs w:val="28"/>
          <w:rtl/>
        </w:rPr>
        <w:t xml:space="preserve">הוא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כי נוצר עליו עומס בלתי סביר </w:t>
      </w:r>
      <w:r>
        <w:rPr>
          <w:rFonts w:ascii="FrankRuehl" w:hAnsi="FrankRuehl" w:cs="FrankRuehl" w:hint="cs"/>
          <w:sz w:val="28"/>
          <w:szCs w:val="28"/>
          <w:rtl/>
        </w:rPr>
        <w:t xml:space="preserve">אשר </w:t>
      </w:r>
      <w:r w:rsidRPr="00C33E17">
        <w:rPr>
          <w:rFonts w:ascii="FrankRuehl" w:hAnsi="FrankRuehl" w:cs="FrankRuehl"/>
          <w:sz w:val="28"/>
          <w:szCs w:val="28"/>
          <w:rtl/>
        </w:rPr>
        <w:t>לא מאפשר לו לדון בסעד זמנים סביר, להעביר את התיק לשיפוט המוקד</w:t>
      </w:r>
      <w:r>
        <w:rPr>
          <w:rFonts w:ascii="FrankRuehl" w:hAnsi="FrankRuehl" w:cs="FrankRuehl" w:hint="cs"/>
          <w:sz w:val="28"/>
          <w:szCs w:val="28"/>
          <w:rtl/>
        </w:rPr>
        <w:t>.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</w:t>
      </w:r>
    </w:p>
    <w:p w:rsidR="00B97160" w:rsidRPr="0098182E" w:rsidRDefault="00B97160" w:rsidP="00B97160">
      <w:pPr>
        <w:pStyle w:val="a9"/>
        <w:rPr>
          <w:rFonts w:ascii="FrankRuehl" w:hAnsi="FrankRuehl" w:cs="FrankRuehl"/>
          <w:sz w:val="28"/>
          <w:szCs w:val="28"/>
          <w:rtl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אזכיר</w:t>
      </w:r>
      <w:r>
        <w:rPr>
          <w:rFonts w:ascii="FrankRuehl" w:hAnsi="FrankRuehl" w:cs="FrankRuehl" w:hint="cs"/>
          <w:sz w:val="28"/>
          <w:szCs w:val="28"/>
          <w:rtl/>
        </w:rPr>
        <w:t xml:space="preserve">, כי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החל </w:t>
      </w:r>
      <w:r>
        <w:rPr>
          <w:rFonts w:ascii="FrankRuehl" w:hAnsi="FrankRuehl" w:cs="FrankRuehl" w:hint="cs"/>
          <w:sz w:val="28"/>
          <w:szCs w:val="28"/>
          <w:rtl/>
        </w:rPr>
        <w:t>ה</w:t>
      </w:r>
      <w:r w:rsidRPr="00C33E17">
        <w:rPr>
          <w:rFonts w:ascii="FrankRuehl" w:hAnsi="FrankRuehl" w:cs="FrankRuehl"/>
          <w:sz w:val="28"/>
          <w:szCs w:val="28"/>
          <w:rtl/>
        </w:rPr>
        <w:t>דיון בשעה 11:30 ועד שזה ייתם תהא השעה 13:00 לערך</w:t>
      </w:r>
      <w:r>
        <w:rPr>
          <w:rFonts w:ascii="FrankRuehl" w:hAnsi="FrankRuehl" w:cs="FrankRuehl" w:hint="cs"/>
          <w:sz w:val="28"/>
          <w:szCs w:val="28"/>
          <w:rtl/>
        </w:rPr>
        <w:t xml:space="preserve"> ואז, </w:t>
      </w:r>
      <w:r w:rsidRPr="00C33E17">
        <w:rPr>
          <w:rFonts w:ascii="FrankRuehl" w:hAnsi="FrankRuehl" w:cs="FrankRuehl"/>
          <w:sz w:val="28"/>
          <w:szCs w:val="28"/>
          <w:rtl/>
        </w:rPr>
        <w:t>אולי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נ</w:t>
      </w:r>
      <w:r>
        <w:rPr>
          <w:rFonts w:ascii="FrankRuehl" w:hAnsi="FrankRuehl" w:cs="FrankRuehl"/>
          <w:sz w:val="28"/>
          <w:szCs w:val="28"/>
          <w:rtl/>
        </w:rPr>
        <w:t xml:space="preserve">בין מדוע סבר המותב העיקרי כי </w:t>
      </w:r>
      <w:r>
        <w:rPr>
          <w:rFonts w:ascii="FrankRuehl" w:hAnsi="FrankRuehl" w:cs="FrankRuehl" w:hint="cs"/>
          <w:sz w:val="28"/>
          <w:szCs w:val="28"/>
          <w:rtl/>
        </w:rPr>
        <w:t xml:space="preserve">קיים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צורך בהקדשת זמן ספציפית לבעיה שלפניי. </w:t>
      </w: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כך או אחרת, אינ</w:t>
      </w:r>
      <w:r>
        <w:rPr>
          <w:rFonts w:ascii="FrankRuehl" w:hAnsi="FrankRuehl" w:cs="FrankRuehl" w:hint="cs"/>
          <w:sz w:val="28"/>
          <w:szCs w:val="28"/>
          <w:rtl/>
        </w:rPr>
        <w:t>נ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י מתיימר לשמש כערכאת ערעור על החלטות כבוד השופטת </w:t>
      </w:r>
      <w:r>
        <w:rPr>
          <w:rFonts w:ascii="FrankRuehl" w:hAnsi="FrankRuehl" w:cs="FrankRuehl" w:hint="cs"/>
          <w:sz w:val="28"/>
          <w:szCs w:val="28"/>
          <w:rtl/>
        </w:rPr>
        <w:t xml:space="preserve">א. </w:t>
      </w:r>
      <w:r w:rsidRPr="00C33E17">
        <w:rPr>
          <w:rFonts w:ascii="FrankRuehl" w:hAnsi="FrankRuehl" w:cs="FrankRuehl"/>
          <w:sz w:val="28"/>
          <w:szCs w:val="28"/>
          <w:rtl/>
        </w:rPr>
        <w:t>אילוטוביץ'-סגל.</w:t>
      </w:r>
      <w:r>
        <w:rPr>
          <w:rFonts w:ascii="FrankRuehl" w:hAnsi="FrankRuehl" w:cs="FrankRuehl" w:hint="cs"/>
          <w:sz w:val="28"/>
          <w:szCs w:val="28"/>
          <w:rtl/>
        </w:rPr>
        <w:t xml:space="preserve">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והנה, אומרת לי האם כי עלי להשיב את התיק למותב העיקרי, או ל</w:t>
      </w:r>
      <w:r>
        <w:rPr>
          <w:rFonts w:ascii="FrankRuehl" w:hAnsi="FrankRuehl" w:cs="FrankRuehl" w:hint="cs"/>
          <w:sz w:val="28"/>
          <w:szCs w:val="28"/>
          <w:rtl/>
        </w:rPr>
        <w:t xml:space="preserve">יטול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את התיק כולו תחת חסותי, כאילו רשאי אני להתעלם מהחלטתו של המותב העיקרי – לא כך הוא.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למעשה, מתמקדת טענתה של האם באמירה כי כלל </w:t>
      </w:r>
      <w:r>
        <w:rPr>
          <w:rFonts w:ascii="FrankRuehl" w:hAnsi="FrankRuehl" w:cs="FrankRuehl" w:hint="cs"/>
          <w:sz w:val="28"/>
          <w:szCs w:val="28"/>
          <w:rtl/>
        </w:rPr>
        <w:t xml:space="preserve">אין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בנמצא ניכור הורי כלשהו, שהרי מתקיים קשר בין האב לבין הקטינה.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הבה נבין, כי נוהל הנשיאה וא</w:t>
      </w:r>
      <w:r>
        <w:rPr>
          <w:rFonts w:ascii="FrankRuehl" w:hAnsi="FrankRuehl" w:cs="FrankRuehl" w:hint="cs"/>
          <w:sz w:val="28"/>
          <w:szCs w:val="28"/>
          <w:rtl/>
        </w:rPr>
        <w:t>ף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הפסיקה </w:t>
      </w:r>
      <w:r>
        <w:rPr>
          <w:rFonts w:ascii="FrankRuehl" w:hAnsi="FrankRuehl" w:cs="FrankRuehl" w:hint="cs"/>
          <w:sz w:val="28"/>
          <w:szCs w:val="28"/>
          <w:rtl/>
        </w:rPr>
        <w:t>א</w:t>
      </w:r>
      <w:r w:rsidRPr="00C33E17">
        <w:rPr>
          <w:rFonts w:ascii="FrankRuehl" w:hAnsi="FrankRuehl" w:cs="FrankRuehl"/>
          <w:sz w:val="28"/>
          <w:szCs w:val="28"/>
          <w:rtl/>
        </w:rPr>
        <w:t>ש</w:t>
      </w:r>
      <w:r>
        <w:rPr>
          <w:rFonts w:ascii="FrankRuehl" w:hAnsi="FrankRuehl" w:cs="FrankRuehl" w:hint="cs"/>
          <w:sz w:val="28"/>
          <w:szCs w:val="28"/>
          <w:rtl/>
        </w:rPr>
        <w:t xml:space="preserve">ר </w:t>
      </w:r>
      <w:r w:rsidRPr="00C33E17">
        <w:rPr>
          <w:rFonts w:ascii="FrankRuehl" w:hAnsi="FrankRuehl" w:cs="FrankRuehl"/>
          <w:sz w:val="28"/>
          <w:szCs w:val="28"/>
          <w:rtl/>
        </w:rPr>
        <w:t>ניתנה טרם פרסום נוהל הנשיאה, מסבירים כי עיסוקם של בתי המשפט הוא בניתוק קשר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או באפשרות קרובה לוודאי בדבר ניתוק קשר</w:t>
      </w:r>
      <w:r>
        <w:rPr>
          <w:rFonts w:ascii="FrankRuehl" w:hAnsi="FrankRuehl" w:cs="FrankRuehl" w:hint="cs"/>
          <w:sz w:val="28"/>
          <w:szCs w:val="28"/>
          <w:rtl/>
        </w:rPr>
        <w:t xml:space="preserve">, אך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לא בניכור הורי במובנו הפסיכולוגי.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ניכור הורי, לאמור חתירה מתמדת לניתוק קשר </w:t>
      </w:r>
      <w:r>
        <w:rPr>
          <w:rFonts w:ascii="FrankRuehl" w:hAnsi="FrankRuehl" w:cs="FrankRuehl" w:hint="cs"/>
          <w:sz w:val="28"/>
          <w:szCs w:val="28"/>
          <w:rtl/>
        </w:rPr>
        <w:t>ו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ללא צידוק </w:t>
      </w:r>
      <w:r>
        <w:rPr>
          <w:rFonts w:ascii="FrankRuehl" w:hAnsi="FrankRuehl" w:cs="FrankRuehl" w:hint="cs"/>
          <w:sz w:val="28"/>
          <w:szCs w:val="28"/>
          <w:rtl/>
        </w:rPr>
        <w:t xml:space="preserve">הינו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חלק מן הסיבות </w:t>
      </w:r>
      <w:r>
        <w:rPr>
          <w:rFonts w:ascii="FrankRuehl" w:hAnsi="FrankRuehl" w:cs="FrankRuehl" w:hint="cs"/>
          <w:sz w:val="28"/>
          <w:szCs w:val="28"/>
          <w:rtl/>
        </w:rPr>
        <w:t>א</w:t>
      </w:r>
      <w:r w:rsidRPr="00C33E17">
        <w:rPr>
          <w:rFonts w:ascii="FrankRuehl" w:hAnsi="FrankRuehl" w:cs="FrankRuehl"/>
          <w:sz w:val="28"/>
          <w:szCs w:val="28"/>
          <w:rtl/>
        </w:rPr>
        <w:t>ש</w:t>
      </w:r>
      <w:r>
        <w:rPr>
          <w:rFonts w:ascii="FrankRuehl" w:hAnsi="FrankRuehl" w:cs="FrankRuehl" w:hint="cs"/>
          <w:sz w:val="28"/>
          <w:szCs w:val="28"/>
          <w:rtl/>
        </w:rPr>
        <w:t xml:space="preserve">ר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יכולות לגרום לניתוק קשר. </w:t>
      </w:r>
    </w:p>
    <w:p w:rsidR="00B97160" w:rsidRPr="00BF29BE" w:rsidRDefault="00B97160" w:rsidP="00B97160">
      <w:pPr>
        <w:pStyle w:val="a9"/>
        <w:rPr>
          <w:rFonts w:ascii="FrankRuehl" w:hAnsi="FrankRuehl" w:cs="FrankRuehl"/>
          <w:sz w:val="28"/>
          <w:szCs w:val="28"/>
          <w:rtl/>
        </w:rPr>
      </w:pP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הדין הישראלי מכיר סיבות נוספות לניתוק קשר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שאינן קשורות בניכור הורי, למשל</w:t>
      </w:r>
      <w:r>
        <w:rPr>
          <w:rFonts w:ascii="FrankRuehl" w:hAnsi="FrankRuehl" w:cs="FrankRuehl" w:hint="cs"/>
          <w:sz w:val="28"/>
          <w:szCs w:val="28"/>
          <w:rtl/>
        </w:rPr>
        <w:t>: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רצונותיהם של קטינים מתבגרים להשתחרר ממטלות ומשימת גבולות על-ידי קיום הורות פאסיבית</w:t>
      </w:r>
      <w:r>
        <w:rPr>
          <w:rFonts w:ascii="FrankRuehl" w:hAnsi="FrankRuehl" w:cs="FrankRuehl" w:hint="cs"/>
          <w:sz w:val="28"/>
          <w:szCs w:val="28"/>
          <w:rtl/>
        </w:rPr>
        <w:t>;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למשל קשר </w:t>
      </w:r>
      <w:r>
        <w:rPr>
          <w:rFonts w:ascii="FrankRuehl" w:hAnsi="FrankRuehl" w:cs="FrankRuehl" w:hint="cs"/>
          <w:sz w:val="28"/>
          <w:szCs w:val="28"/>
          <w:rtl/>
        </w:rPr>
        <w:t>א</w:t>
      </w:r>
      <w:r w:rsidRPr="00C33E17">
        <w:rPr>
          <w:rFonts w:ascii="FrankRuehl" w:hAnsi="FrankRuehl" w:cs="FrankRuehl"/>
          <w:sz w:val="28"/>
          <w:szCs w:val="28"/>
          <w:rtl/>
        </w:rPr>
        <w:t>ש</w:t>
      </w:r>
      <w:r>
        <w:rPr>
          <w:rFonts w:ascii="FrankRuehl" w:hAnsi="FrankRuehl" w:cs="FrankRuehl" w:hint="cs"/>
          <w:sz w:val="28"/>
          <w:szCs w:val="28"/>
          <w:rtl/>
        </w:rPr>
        <w:t xml:space="preserve">ר </w:t>
      </w:r>
      <w:r>
        <w:rPr>
          <w:rFonts w:ascii="FrankRuehl" w:hAnsi="FrankRuehl" w:cs="FrankRuehl"/>
          <w:sz w:val="28"/>
          <w:szCs w:val="28"/>
          <w:rtl/>
        </w:rPr>
        <w:t>ניתק בשל התרחקות גיאוגרפית</w:t>
      </w:r>
      <w:r>
        <w:rPr>
          <w:rFonts w:ascii="FrankRuehl" w:hAnsi="FrankRuehl" w:cs="FrankRuehl" w:hint="cs"/>
          <w:sz w:val="28"/>
          <w:szCs w:val="28"/>
          <w:rtl/>
        </w:rPr>
        <w:t xml:space="preserve"> ועוד.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ניכור הורי הוא יוזמה בזדון לחבלה בקשר </w:t>
      </w:r>
      <w:r>
        <w:rPr>
          <w:rFonts w:ascii="FrankRuehl" w:hAnsi="FrankRuehl" w:cs="FrankRuehl" w:hint="cs"/>
          <w:sz w:val="28"/>
          <w:szCs w:val="28"/>
          <w:rtl/>
        </w:rPr>
        <w:t>ל</w:t>
      </w:r>
      <w:r w:rsidRPr="00C33E17">
        <w:rPr>
          <w:rFonts w:ascii="FrankRuehl" w:hAnsi="FrankRuehl" w:cs="FrankRuehl"/>
          <w:sz w:val="28"/>
          <w:szCs w:val="28"/>
          <w:rtl/>
        </w:rPr>
        <w:t>לא צידוק אובייקטיבי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ואין נפקא מינה אם נובע הוא מחרדנות יתר, מרצון בנקמה או משילובם של </w:t>
      </w:r>
      <w:r>
        <w:rPr>
          <w:rFonts w:ascii="FrankRuehl" w:hAnsi="FrankRuehl" w:cs="FrankRuehl" w:hint="cs"/>
          <w:sz w:val="28"/>
          <w:szCs w:val="28"/>
          <w:rtl/>
        </w:rPr>
        <w:t xml:space="preserve">כל </w:t>
      </w:r>
      <w:r>
        <w:rPr>
          <w:rFonts w:ascii="FrankRuehl" w:hAnsi="FrankRuehl" w:cs="FrankRuehl"/>
          <w:sz w:val="28"/>
          <w:szCs w:val="28"/>
          <w:rtl/>
        </w:rPr>
        <w:t>אלה, כמו גם נושאים אישיים אחרים</w:t>
      </w:r>
      <w:r>
        <w:rPr>
          <w:rFonts w:ascii="FrankRuehl" w:hAnsi="FrankRuehl" w:cs="FrankRuehl" w:hint="cs"/>
          <w:sz w:val="28"/>
          <w:szCs w:val="28"/>
          <w:rtl/>
        </w:rPr>
        <w:t xml:space="preserve">, כגון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חוסר מהימנות הורית.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אל יהא ספק</w:t>
      </w:r>
      <w:r>
        <w:rPr>
          <w:rFonts w:ascii="FrankRuehl" w:hAnsi="FrankRuehl" w:cs="FrankRuehl" w:hint="cs"/>
          <w:sz w:val="28"/>
          <w:szCs w:val="28"/>
          <w:rtl/>
        </w:rPr>
        <w:t xml:space="preserve"> </w:t>
      </w:r>
      <w:r>
        <w:rPr>
          <w:rFonts w:ascii="FrankRuehl" w:hAnsi="FrankRuehl" w:cs="FrankRuehl"/>
          <w:sz w:val="28"/>
          <w:szCs w:val="28"/>
          <w:rtl/>
        </w:rPr>
        <w:t>–</w:t>
      </w:r>
      <w:r>
        <w:rPr>
          <w:rFonts w:ascii="FrankRuehl" w:hAnsi="FrankRuehl" w:cs="FrankRuehl" w:hint="cs"/>
          <w:sz w:val="28"/>
          <w:szCs w:val="28"/>
          <w:rtl/>
        </w:rPr>
        <w:t xml:space="preserve">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כבכל תיק משפטי, העובדה </w:t>
      </w:r>
      <w:r>
        <w:rPr>
          <w:rFonts w:ascii="FrankRuehl" w:hAnsi="FrankRuehl" w:cs="FrankRuehl" w:hint="cs"/>
          <w:sz w:val="28"/>
          <w:szCs w:val="28"/>
          <w:rtl/>
        </w:rPr>
        <w:t xml:space="preserve">כי </w:t>
      </w:r>
      <w:r w:rsidRPr="00C33E17">
        <w:rPr>
          <w:rFonts w:ascii="FrankRuehl" w:hAnsi="FrankRuehl" w:cs="FrankRuehl"/>
          <w:sz w:val="28"/>
          <w:szCs w:val="28"/>
          <w:rtl/>
        </w:rPr>
        <w:t>פלוני נוהג שלא כדין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אינה הופכת את אלמוני למי שתמיד מתנהג בתבונה.</w:t>
      </w: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גם כשלאדם זכויות משפטיות, סומא עליו להפעילן בתום לב.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שני הצדדים שלפניי מצאו לנכון "לטפל" במותב העיקרי, מי על דרך בקשה לפסלות</w:t>
      </w:r>
      <w:r>
        <w:rPr>
          <w:rFonts w:ascii="FrankRuehl" w:hAnsi="FrankRuehl" w:cs="FrankRuehl" w:hint="cs"/>
          <w:sz w:val="28"/>
          <w:szCs w:val="28"/>
          <w:rtl/>
        </w:rPr>
        <w:t xml:space="preserve"> ו</w:t>
      </w:r>
      <w:r w:rsidRPr="00C33E17">
        <w:rPr>
          <w:rFonts w:ascii="FrankRuehl" w:hAnsi="FrankRuehl" w:cs="FrankRuehl"/>
          <w:sz w:val="28"/>
          <w:szCs w:val="28"/>
          <w:rtl/>
        </w:rPr>
        <w:t>מי על דרך פניה לנציב התלונות על השופטים. כל אחד חפץ לקדם את מטרותיו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בלא </w:t>
      </w:r>
      <w:r>
        <w:rPr>
          <w:rFonts w:ascii="FrankRuehl" w:hAnsi="FrankRuehl" w:cs="FrankRuehl" w:hint="cs"/>
          <w:sz w:val="28"/>
          <w:szCs w:val="28"/>
          <w:rtl/>
        </w:rPr>
        <w:t xml:space="preserve">כל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מגבלה על השימוש בכוח הדיוני. בכלל, הרעיון </w:t>
      </w:r>
      <w:r>
        <w:rPr>
          <w:rFonts w:ascii="FrankRuehl" w:hAnsi="FrankRuehl" w:cs="FrankRuehl" w:hint="cs"/>
          <w:sz w:val="28"/>
          <w:szCs w:val="28"/>
          <w:rtl/>
        </w:rPr>
        <w:t>"</w:t>
      </w:r>
      <w:r w:rsidRPr="00C33E17">
        <w:rPr>
          <w:rFonts w:ascii="FrankRuehl" w:hAnsi="FrankRuehl" w:cs="FrankRuehl"/>
          <w:sz w:val="28"/>
          <w:szCs w:val="28"/>
          <w:rtl/>
        </w:rPr>
        <w:t>להלך אימים</w:t>
      </w:r>
      <w:r>
        <w:rPr>
          <w:rFonts w:ascii="FrankRuehl" w:hAnsi="FrankRuehl" w:cs="FrankRuehl" w:hint="cs"/>
          <w:sz w:val="28"/>
          <w:szCs w:val="28"/>
          <w:rtl/>
        </w:rPr>
        <w:t>"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על הגורם השיפוטי או לנסות לעשות כן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אינו בשבחו של מי שנוהג כך.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ככלל, מערכות המטפלות בשופט עצמו במקום בבעיה נועדו לספק מגננה לצדדים, כאשר למשל חוטא בית המשפט בשרירות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או נוהג שלא כפי הראוי וכפי המתחייב בכללי האתיקה.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לא כל אימת שבית המשפט אינו מספק רצונותיו של צד יש צורך </w:t>
      </w:r>
      <w:r>
        <w:rPr>
          <w:rFonts w:ascii="FrankRuehl" w:hAnsi="FrankRuehl" w:cs="FrankRuehl" w:hint="cs"/>
          <w:sz w:val="28"/>
          <w:szCs w:val="28"/>
          <w:rtl/>
        </w:rPr>
        <w:t>"</w:t>
      </w:r>
      <w:r w:rsidRPr="00C33E17">
        <w:rPr>
          <w:rFonts w:ascii="FrankRuehl" w:hAnsi="FrankRuehl" w:cs="FrankRuehl"/>
          <w:sz w:val="28"/>
          <w:szCs w:val="28"/>
          <w:rtl/>
        </w:rPr>
        <w:t>לטפל</w:t>
      </w:r>
      <w:r>
        <w:rPr>
          <w:rFonts w:ascii="FrankRuehl" w:hAnsi="FrankRuehl" w:cs="FrankRuehl" w:hint="cs"/>
          <w:sz w:val="28"/>
          <w:szCs w:val="28"/>
          <w:rtl/>
        </w:rPr>
        <w:t>"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בו, לאמור במותב</w:t>
      </w:r>
      <w:r>
        <w:rPr>
          <w:rFonts w:ascii="FrankRuehl" w:hAnsi="FrankRuehl" w:cs="FrankRuehl" w:hint="cs"/>
          <w:sz w:val="28"/>
          <w:szCs w:val="28"/>
          <w:rtl/>
        </w:rPr>
        <w:t xml:space="preserve"> הדן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, אך אין לי </w:t>
      </w:r>
      <w:r>
        <w:rPr>
          <w:rFonts w:ascii="FrankRuehl" w:hAnsi="FrankRuehl" w:cs="FrankRuehl" w:hint="cs"/>
          <w:sz w:val="28"/>
          <w:szCs w:val="28"/>
          <w:rtl/>
        </w:rPr>
        <w:t xml:space="preserve">כל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ספק שהמותב העיקרי "יסתדר". </w:t>
      </w:r>
    </w:p>
    <w:p w:rsidR="00B97160" w:rsidRPr="006A42B3" w:rsidRDefault="00B97160" w:rsidP="00B97160">
      <w:pPr>
        <w:pStyle w:val="a9"/>
        <w:rPr>
          <w:rFonts w:ascii="FrankRuehl" w:hAnsi="FrankRuehl" w:cs="FrankRuehl"/>
          <w:sz w:val="28"/>
          <w:szCs w:val="28"/>
          <w:rtl/>
        </w:rPr>
      </w:pPr>
    </w:p>
    <w:p w:rsidR="00B97160" w:rsidRPr="006A42B3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6A42B3">
        <w:rPr>
          <w:rFonts w:ascii="FrankRuehl" w:hAnsi="FrankRuehl" w:cs="FrankRuehl"/>
          <w:sz w:val="28"/>
          <w:szCs w:val="28"/>
          <w:rtl/>
        </w:rPr>
        <w:t>לא הבאתי את הדברים</w:t>
      </w:r>
      <w:r w:rsidRPr="006A42B3">
        <w:rPr>
          <w:rFonts w:ascii="FrankRuehl" w:hAnsi="FrankRuehl" w:cs="FrankRuehl" w:hint="cs"/>
          <w:sz w:val="28"/>
          <w:szCs w:val="28"/>
          <w:rtl/>
        </w:rPr>
        <w:t>,</w:t>
      </w:r>
      <w:r w:rsidRPr="006A42B3">
        <w:rPr>
          <w:rFonts w:ascii="FrankRuehl" w:hAnsi="FrankRuehl" w:cs="FrankRuehl"/>
          <w:sz w:val="28"/>
          <w:szCs w:val="28"/>
          <w:rtl/>
        </w:rPr>
        <w:t xml:space="preserve"> אלא כדי להסביר </w:t>
      </w:r>
      <w:r w:rsidRPr="006A42B3">
        <w:rPr>
          <w:rFonts w:ascii="FrankRuehl" w:hAnsi="FrankRuehl" w:cs="FrankRuehl" w:hint="cs"/>
          <w:sz w:val="28"/>
          <w:szCs w:val="28"/>
          <w:rtl/>
        </w:rPr>
        <w:t>ל</w:t>
      </w:r>
      <w:r w:rsidRPr="006A42B3">
        <w:rPr>
          <w:rFonts w:ascii="FrankRuehl" w:hAnsi="FrankRuehl" w:cs="FrankRuehl"/>
          <w:sz w:val="28"/>
          <w:szCs w:val="28"/>
          <w:rtl/>
        </w:rPr>
        <w:t xml:space="preserve">הורים </w:t>
      </w:r>
      <w:r w:rsidRPr="006A42B3">
        <w:rPr>
          <w:rFonts w:ascii="FrankRuehl" w:hAnsi="FrankRuehl" w:cs="FrankRuehl" w:hint="cs"/>
          <w:sz w:val="28"/>
          <w:szCs w:val="28"/>
          <w:rtl/>
        </w:rPr>
        <w:t xml:space="preserve">אשר </w:t>
      </w:r>
      <w:r w:rsidRPr="006A42B3">
        <w:rPr>
          <w:rFonts w:ascii="FrankRuehl" w:hAnsi="FrankRuehl" w:cs="FrankRuehl"/>
          <w:sz w:val="28"/>
          <w:szCs w:val="28"/>
          <w:rtl/>
        </w:rPr>
        <w:t>לפניי</w:t>
      </w:r>
      <w:r w:rsidRPr="006A42B3">
        <w:rPr>
          <w:rFonts w:ascii="FrankRuehl" w:hAnsi="FrankRuehl" w:cs="FrankRuehl" w:hint="cs"/>
          <w:sz w:val="28"/>
          <w:szCs w:val="28"/>
          <w:rtl/>
        </w:rPr>
        <w:t xml:space="preserve">, כי </w:t>
      </w:r>
      <w:r w:rsidRPr="006A42B3">
        <w:rPr>
          <w:rFonts w:ascii="FrankRuehl" w:hAnsi="FrankRuehl" w:cs="FrankRuehl"/>
          <w:sz w:val="28"/>
          <w:szCs w:val="28"/>
          <w:rtl/>
        </w:rPr>
        <w:t xml:space="preserve">טוב יעשו אם יסגלו לעצמם מידה של מתינות. לעתים השיטה של שיתוף פעולה טובה יותר </w:t>
      </w:r>
      <w:r>
        <w:rPr>
          <w:rFonts w:ascii="FrankRuehl" w:hAnsi="FrankRuehl" w:cs="FrankRuehl" w:hint="cs"/>
          <w:sz w:val="28"/>
          <w:szCs w:val="28"/>
          <w:rtl/>
        </w:rPr>
        <w:t>מ</w:t>
      </w:r>
      <w:r w:rsidRPr="006A42B3">
        <w:rPr>
          <w:rFonts w:ascii="FrankRuehl" w:hAnsi="FrankRuehl" w:cs="FrankRuehl"/>
          <w:sz w:val="28"/>
          <w:szCs w:val="28"/>
          <w:rtl/>
        </w:rPr>
        <w:t xml:space="preserve">שיטת ה"נאבוט".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אמרתי </w:t>
      </w:r>
      <w:r>
        <w:rPr>
          <w:rFonts w:ascii="FrankRuehl" w:hAnsi="FrankRuehl" w:cs="FrankRuehl" w:hint="cs"/>
          <w:sz w:val="28"/>
          <w:szCs w:val="28"/>
          <w:rtl/>
        </w:rPr>
        <w:t xml:space="preserve">כי </w:t>
      </w:r>
      <w:r w:rsidRPr="00C33E17">
        <w:rPr>
          <w:rFonts w:ascii="FrankRuehl" w:hAnsi="FrankRuehl" w:cs="FrankRuehl"/>
          <w:sz w:val="28"/>
          <w:szCs w:val="28"/>
          <w:rtl/>
        </w:rPr>
        <w:t>אי</w:t>
      </w:r>
      <w:r>
        <w:rPr>
          <w:rFonts w:ascii="FrankRuehl" w:hAnsi="FrankRuehl" w:cs="FrankRuehl" w:hint="cs"/>
          <w:sz w:val="28"/>
          <w:szCs w:val="28"/>
          <w:rtl/>
        </w:rPr>
        <w:t>נ</w:t>
      </w:r>
      <w:r w:rsidRPr="00C33E17">
        <w:rPr>
          <w:rFonts w:ascii="FrankRuehl" w:hAnsi="FrankRuehl" w:cs="FrankRuehl"/>
          <w:sz w:val="28"/>
          <w:szCs w:val="28"/>
          <w:rtl/>
        </w:rPr>
        <w:t>ני ערכאת ערעור על המותב העיקרי, אך אין לי ספק שכאשר קבע המותב העיקרי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לנוכח הטענה ל</w:t>
      </w:r>
      <w:r>
        <w:rPr>
          <w:rFonts w:ascii="FrankRuehl" w:hAnsi="FrankRuehl" w:cs="FrankRuehl" w:hint="cs"/>
          <w:sz w:val="28"/>
          <w:szCs w:val="28"/>
          <w:rtl/>
        </w:rPr>
        <w:t>"</w:t>
      </w:r>
      <w:r w:rsidRPr="00C33E17">
        <w:rPr>
          <w:rFonts w:ascii="FrankRuehl" w:hAnsi="FrankRuehl" w:cs="FrankRuehl"/>
          <w:sz w:val="28"/>
          <w:szCs w:val="28"/>
          <w:rtl/>
        </w:rPr>
        <w:t>ניכור הורי" ו</w:t>
      </w:r>
      <w:r>
        <w:rPr>
          <w:rFonts w:ascii="FrankRuehl" w:hAnsi="FrankRuehl" w:cs="FrankRuehl" w:hint="cs"/>
          <w:sz w:val="28"/>
          <w:szCs w:val="28"/>
          <w:rtl/>
        </w:rPr>
        <w:t>ה</w:t>
      </w:r>
      <w:r w:rsidRPr="00C33E17">
        <w:rPr>
          <w:rFonts w:ascii="FrankRuehl" w:hAnsi="FrankRuehl" w:cs="FrankRuehl"/>
          <w:sz w:val="28"/>
          <w:szCs w:val="28"/>
          <w:rtl/>
        </w:rPr>
        <w:t>פנה את הבירור לכאן, צדק</w:t>
      </w:r>
      <w:r>
        <w:rPr>
          <w:rFonts w:ascii="FrankRuehl" w:hAnsi="FrankRuehl" w:cs="FrankRuehl" w:hint="cs"/>
          <w:sz w:val="28"/>
          <w:szCs w:val="28"/>
          <w:rtl/>
        </w:rPr>
        <w:t xml:space="preserve"> הוא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אומר אני את אשר לא אמר המותב העיקרי – שלא בטובתה ו</w:t>
      </w:r>
      <w:r>
        <w:rPr>
          <w:rFonts w:ascii="FrankRuehl" w:hAnsi="FrankRuehl" w:cs="FrankRuehl" w:hint="cs"/>
          <w:sz w:val="28"/>
          <w:szCs w:val="28"/>
          <w:rtl/>
        </w:rPr>
        <w:t>ע</w:t>
      </w:r>
      <w:r w:rsidRPr="00C33E17">
        <w:rPr>
          <w:rFonts w:ascii="FrankRuehl" w:hAnsi="FrankRuehl" w:cs="FrankRuehl"/>
          <w:sz w:val="28"/>
          <w:szCs w:val="28"/>
          <w:rtl/>
        </w:rPr>
        <w:t>ל נקלה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יכול אני לראות באם </w:t>
      </w:r>
      <w:r>
        <w:rPr>
          <w:rFonts w:ascii="FrankRuehl" w:hAnsi="FrankRuehl" w:cs="FrankRuehl" w:hint="cs"/>
          <w:sz w:val="28"/>
          <w:szCs w:val="28"/>
          <w:rtl/>
        </w:rPr>
        <w:t>כ</w:t>
      </w:r>
      <w:r w:rsidRPr="00C33E17">
        <w:rPr>
          <w:rFonts w:ascii="FrankRuehl" w:hAnsi="FrankRuehl" w:cs="FrankRuehl"/>
          <w:sz w:val="28"/>
          <w:szCs w:val="28"/>
          <w:rtl/>
        </w:rPr>
        <w:t>מי שהיא הורה מנכר</w:t>
      </w:r>
      <w:r>
        <w:rPr>
          <w:rFonts w:ascii="FrankRuehl" w:hAnsi="FrankRuehl" w:cs="FrankRuehl" w:hint="cs"/>
          <w:sz w:val="28"/>
          <w:szCs w:val="28"/>
          <w:rtl/>
        </w:rPr>
        <w:t>.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עוד מעט קט אסביר.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אומר, כי שימוש בתחלואה חוזרת ובלתי מוסברת של הקטינה כצידוק לקטיעה עצמית של זמני השהות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ואי ציות להחלטות שיפוטיות אינ</w:t>
      </w:r>
      <w:r>
        <w:rPr>
          <w:rFonts w:ascii="FrankRuehl" w:hAnsi="FrankRuehl" w:cs="FrankRuehl" w:hint="cs"/>
          <w:sz w:val="28"/>
          <w:szCs w:val="28"/>
          <w:rtl/>
        </w:rPr>
        <w:t>ם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בבחינת צידוק. </w:t>
      </w:r>
    </w:p>
    <w:p w:rsidR="00B97160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כאשר קטין חולה, יכול</w:t>
      </w:r>
      <w:r>
        <w:rPr>
          <w:rFonts w:ascii="FrankRuehl" w:hAnsi="FrankRuehl" w:cs="FrankRuehl" w:hint="cs"/>
          <w:sz w:val="28"/>
          <w:szCs w:val="28"/>
          <w:rtl/>
        </w:rPr>
        <w:t xml:space="preserve">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כל אחד מהוריו לטפל בו. </w:t>
      </w: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לאם אין בעלות רבה יותר על הקטינה מאשר לאב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ואומרת בתבונה האפוטרופא לדין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כי לא נמצאה כל מניעה שהאב יטפל בקטינה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בחוליה.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</w:rPr>
      </w:pPr>
      <w:r w:rsidRPr="00C33E17">
        <w:rPr>
          <w:rFonts w:ascii="FrankRuehl" w:hAnsi="FrankRuehl" w:cs="FrankRuehl"/>
          <w:sz w:val="28"/>
          <w:szCs w:val="28"/>
          <w:rtl/>
        </w:rPr>
        <w:t>אומר אפוא, כי כל אימת שלא יבוצעו זמני שהות, נכנסת האם לגדר מי שמפר צו שיפוטי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הוראה שיפוטית</w:t>
      </w:r>
      <w:r>
        <w:rPr>
          <w:rFonts w:ascii="FrankRuehl" w:hAnsi="FrankRuehl" w:cs="FrankRuehl" w:hint="cs"/>
          <w:sz w:val="28"/>
          <w:szCs w:val="28"/>
          <w:rtl/>
        </w:rPr>
        <w:t xml:space="preserve"> ואף </w:t>
      </w:r>
      <w:r w:rsidRPr="00C33E17">
        <w:rPr>
          <w:rFonts w:ascii="FrankRuehl" w:hAnsi="FrankRuehl" w:cs="FrankRuehl"/>
          <w:sz w:val="28"/>
          <w:szCs w:val="28"/>
          <w:rtl/>
        </w:rPr>
        <w:t>הוראה חוקית</w:t>
      </w:r>
      <w:r>
        <w:rPr>
          <w:rFonts w:ascii="FrankRuehl" w:hAnsi="FrankRuehl" w:cs="FrankRuehl" w:hint="cs"/>
          <w:sz w:val="28"/>
          <w:szCs w:val="28"/>
          <w:rtl/>
        </w:rPr>
        <w:t>.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</w:t>
      </w: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367C53">
        <w:rPr>
          <w:rFonts w:ascii="FrankRuehl" w:hAnsi="FrankRuehl" w:cs="FrankRuehl"/>
          <w:b/>
          <w:bCs/>
          <w:sz w:val="28"/>
          <w:szCs w:val="28"/>
          <w:u w:val="single"/>
          <w:rtl/>
        </w:rPr>
        <w:t xml:space="preserve">כל שהיה </w:t>
      </w:r>
      <w:r w:rsidRPr="00367C53">
        <w:rPr>
          <w:rFonts w:ascii="FrankRuehl" w:hAnsi="FrankRuehl" w:cs="FrankRuehl" w:hint="cs"/>
          <w:b/>
          <w:bCs/>
          <w:sz w:val="28"/>
          <w:szCs w:val="28"/>
          <w:u w:val="single"/>
          <w:rtl/>
        </w:rPr>
        <w:t xml:space="preserve">של הקטינה </w:t>
      </w:r>
      <w:r w:rsidRPr="00367C53">
        <w:rPr>
          <w:rFonts w:ascii="FrankRuehl" w:hAnsi="FrankRuehl" w:cs="FrankRuehl"/>
          <w:b/>
          <w:bCs/>
          <w:sz w:val="28"/>
          <w:szCs w:val="28"/>
          <w:u w:val="single"/>
          <w:rtl/>
        </w:rPr>
        <w:t>בביתה של האם</w:t>
      </w:r>
      <w:r w:rsidRPr="00367C53">
        <w:rPr>
          <w:rFonts w:ascii="FrankRuehl" w:hAnsi="FrankRuehl" w:cs="FrankRuehl" w:hint="cs"/>
          <w:b/>
          <w:bCs/>
          <w:sz w:val="28"/>
          <w:szCs w:val="28"/>
          <w:u w:val="single"/>
          <w:rtl/>
        </w:rPr>
        <w:t>,</w:t>
      </w:r>
      <w:r w:rsidRPr="00367C53">
        <w:rPr>
          <w:rFonts w:ascii="FrankRuehl" w:hAnsi="FrankRuehl" w:cs="FrankRuehl"/>
          <w:b/>
          <w:bCs/>
          <w:sz w:val="28"/>
          <w:szCs w:val="28"/>
          <w:u w:val="single"/>
          <w:rtl/>
        </w:rPr>
        <w:t xml:space="preserve"> בזמני </w:t>
      </w:r>
      <w:r w:rsidRPr="00367C53">
        <w:rPr>
          <w:rFonts w:ascii="FrankRuehl" w:hAnsi="FrankRuehl" w:cs="FrankRuehl" w:hint="cs"/>
          <w:b/>
          <w:bCs/>
          <w:sz w:val="28"/>
          <w:szCs w:val="28"/>
          <w:u w:val="single"/>
          <w:rtl/>
        </w:rPr>
        <w:t>ה</w:t>
      </w:r>
      <w:r w:rsidRPr="00367C53">
        <w:rPr>
          <w:rFonts w:ascii="FrankRuehl" w:hAnsi="FrankRuehl" w:cs="FrankRuehl"/>
          <w:b/>
          <w:bCs/>
          <w:sz w:val="28"/>
          <w:szCs w:val="28"/>
          <w:u w:val="single"/>
          <w:rtl/>
        </w:rPr>
        <w:t xml:space="preserve">שהות </w:t>
      </w:r>
      <w:r w:rsidRPr="00367C53">
        <w:rPr>
          <w:rFonts w:ascii="FrankRuehl" w:hAnsi="FrankRuehl" w:cs="FrankRuehl" w:hint="cs"/>
          <w:b/>
          <w:bCs/>
          <w:sz w:val="28"/>
          <w:szCs w:val="28"/>
          <w:u w:val="single"/>
          <w:rtl/>
        </w:rPr>
        <w:t>א</w:t>
      </w:r>
      <w:r w:rsidRPr="00367C53">
        <w:rPr>
          <w:rFonts w:ascii="FrankRuehl" w:hAnsi="FrankRuehl" w:cs="FrankRuehl"/>
          <w:b/>
          <w:bCs/>
          <w:sz w:val="28"/>
          <w:szCs w:val="28"/>
          <w:u w:val="single"/>
          <w:rtl/>
        </w:rPr>
        <w:t>ש</w:t>
      </w:r>
      <w:r w:rsidRPr="00367C53">
        <w:rPr>
          <w:rFonts w:ascii="FrankRuehl" w:hAnsi="FrankRuehl" w:cs="FrankRuehl" w:hint="cs"/>
          <w:b/>
          <w:bCs/>
          <w:sz w:val="28"/>
          <w:szCs w:val="28"/>
          <w:u w:val="single"/>
          <w:rtl/>
        </w:rPr>
        <w:t xml:space="preserve">ר </w:t>
      </w:r>
      <w:r w:rsidRPr="00367C53">
        <w:rPr>
          <w:rFonts w:ascii="FrankRuehl" w:hAnsi="FrankRuehl" w:cs="FrankRuehl"/>
          <w:b/>
          <w:bCs/>
          <w:sz w:val="28"/>
          <w:szCs w:val="28"/>
          <w:u w:val="single"/>
          <w:rtl/>
        </w:rPr>
        <w:t>נועדו לאב ובלא היתר מבית המשפט</w:t>
      </w:r>
      <w:r w:rsidRPr="00367C53">
        <w:rPr>
          <w:rFonts w:ascii="FrankRuehl" w:hAnsi="FrankRuehl" w:cs="FrankRuehl" w:hint="cs"/>
          <w:b/>
          <w:bCs/>
          <w:sz w:val="28"/>
          <w:szCs w:val="28"/>
          <w:u w:val="single"/>
          <w:rtl/>
        </w:rPr>
        <w:t xml:space="preserve"> </w:t>
      </w:r>
      <w:r w:rsidRPr="00367C53">
        <w:rPr>
          <w:rFonts w:ascii="FrankRuehl" w:hAnsi="FrankRuehl" w:cs="FrankRuehl"/>
          <w:b/>
          <w:bCs/>
          <w:sz w:val="28"/>
          <w:szCs w:val="28"/>
          <w:u w:val="single"/>
          <w:rtl/>
        </w:rPr>
        <w:t>–</w:t>
      </w:r>
      <w:r w:rsidRPr="00367C53">
        <w:rPr>
          <w:rFonts w:ascii="FrankRuehl" w:hAnsi="FrankRuehl" w:cs="FrankRuehl" w:hint="cs"/>
          <w:b/>
          <w:bCs/>
          <w:sz w:val="28"/>
          <w:szCs w:val="28"/>
          <w:u w:val="single"/>
          <w:rtl/>
        </w:rPr>
        <w:t xml:space="preserve"> </w:t>
      </w:r>
      <w:r w:rsidRPr="00367C53">
        <w:rPr>
          <w:rFonts w:ascii="FrankRuehl" w:hAnsi="FrankRuehl" w:cs="FrankRuehl"/>
          <w:b/>
          <w:bCs/>
          <w:sz w:val="28"/>
          <w:szCs w:val="28"/>
          <w:u w:val="single"/>
          <w:rtl/>
        </w:rPr>
        <w:t>היא החזקתו של הקטין שלא כדין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367C53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b/>
          <w:bCs/>
          <w:sz w:val="28"/>
          <w:szCs w:val="28"/>
          <w:rtl/>
        </w:rPr>
      </w:pPr>
      <w:r w:rsidRPr="00367C53">
        <w:rPr>
          <w:rFonts w:ascii="FrankRuehl" w:hAnsi="FrankRuehl" w:cs="FrankRuehl"/>
          <w:b/>
          <w:bCs/>
          <w:sz w:val="28"/>
          <w:szCs w:val="28"/>
          <w:rtl/>
        </w:rPr>
        <w:t xml:space="preserve">לידיעתה של האם למרות שבטוחני שכעורכת דין </w:t>
      </w:r>
      <w:r w:rsidRPr="00367C53">
        <w:rPr>
          <w:rFonts w:ascii="FrankRuehl" w:hAnsi="FrankRuehl" w:cs="FrankRuehl" w:hint="cs"/>
          <w:b/>
          <w:bCs/>
          <w:sz w:val="28"/>
          <w:szCs w:val="28"/>
          <w:rtl/>
        </w:rPr>
        <w:t xml:space="preserve">בקיאה היא </w:t>
      </w:r>
      <w:r w:rsidRPr="00367C53">
        <w:rPr>
          <w:rFonts w:ascii="FrankRuehl" w:hAnsi="FrankRuehl" w:cs="FrankRuehl"/>
          <w:b/>
          <w:bCs/>
          <w:sz w:val="28"/>
          <w:szCs w:val="28"/>
          <w:rtl/>
        </w:rPr>
        <w:t>–</w:t>
      </w:r>
      <w:r w:rsidRPr="00367C53">
        <w:rPr>
          <w:rFonts w:ascii="FrankRuehl" w:hAnsi="FrankRuehl" w:cs="FrankRuehl" w:hint="cs"/>
          <w:b/>
          <w:bCs/>
          <w:sz w:val="28"/>
          <w:szCs w:val="28"/>
          <w:rtl/>
        </w:rPr>
        <w:t xml:space="preserve"> </w:t>
      </w:r>
      <w:r w:rsidRPr="00367C53">
        <w:rPr>
          <w:rFonts w:ascii="FrankRuehl" w:hAnsi="FrankRuehl" w:cs="FrankRuehl"/>
          <w:b/>
          <w:bCs/>
          <w:sz w:val="28"/>
          <w:szCs w:val="28"/>
          <w:rtl/>
        </w:rPr>
        <w:t>הפרת הוראה חוקית אינה עוולה אזרחית</w:t>
      </w:r>
      <w:r w:rsidRPr="00367C53">
        <w:rPr>
          <w:rFonts w:ascii="FrankRuehl" w:hAnsi="FrankRuehl" w:cs="FrankRuehl" w:hint="cs"/>
          <w:b/>
          <w:bCs/>
          <w:sz w:val="28"/>
          <w:szCs w:val="28"/>
          <w:rtl/>
        </w:rPr>
        <w:t xml:space="preserve"> בלבד, אלא ה</w:t>
      </w:r>
      <w:r w:rsidRPr="00367C53">
        <w:rPr>
          <w:rFonts w:ascii="FrankRuehl" w:hAnsi="FrankRuehl" w:cs="FrankRuehl"/>
          <w:b/>
          <w:bCs/>
          <w:sz w:val="28"/>
          <w:szCs w:val="28"/>
          <w:rtl/>
        </w:rPr>
        <w:t>יא חלק מן הנושאים הנכללים בחוק העונשין</w:t>
      </w:r>
      <w:r w:rsidRPr="00367C53">
        <w:rPr>
          <w:rFonts w:ascii="FrankRuehl" w:hAnsi="FrankRuehl" w:cs="FrankRuehl" w:hint="cs"/>
          <w:b/>
          <w:bCs/>
          <w:sz w:val="28"/>
          <w:szCs w:val="28"/>
          <w:rtl/>
        </w:rPr>
        <w:t>,</w:t>
      </w:r>
      <w:r w:rsidRPr="00367C53">
        <w:rPr>
          <w:rFonts w:ascii="FrankRuehl" w:hAnsi="FrankRuehl" w:cs="FrankRuehl"/>
          <w:b/>
          <w:bCs/>
          <w:sz w:val="28"/>
          <w:szCs w:val="28"/>
          <w:rtl/>
        </w:rPr>
        <w:t xml:space="preserve"> ודי לחכימא. </w:t>
      </w: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lastRenderedPageBreak/>
        <w:t>טוב תעשה האם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אם לא תימנה בין הבודדים </w:t>
      </w:r>
      <w:r>
        <w:rPr>
          <w:rFonts w:ascii="FrankRuehl" w:hAnsi="FrankRuehl" w:cs="FrankRuehl" w:hint="cs"/>
          <w:sz w:val="28"/>
          <w:szCs w:val="28"/>
          <w:rtl/>
        </w:rPr>
        <w:t>א</w:t>
      </w:r>
      <w:r w:rsidRPr="00C33E17">
        <w:rPr>
          <w:rFonts w:ascii="FrankRuehl" w:hAnsi="FrankRuehl" w:cs="FrankRuehl"/>
          <w:sz w:val="28"/>
          <w:szCs w:val="28"/>
          <w:rtl/>
        </w:rPr>
        <w:t>ש</w:t>
      </w:r>
      <w:r>
        <w:rPr>
          <w:rFonts w:ascii="FrankRuehl" w:hAnsi="FrankRuehl" w:cs="FrankRuehl" w:hint="cs"/>
          <w:sz w:val="28"/>
          <w:szCs w:val="28"/>
          <w:rtl/>
        </w:rPr>
        <w:t xml:space="preserve">ר </w:t>
      </w:r>
      <w:r w:rsidRPr="00C33E17">
        <w:rPr>
          <w:rFonts w:ascii="FrankRuehl" w:hAnsi="FrankRuehl" w:cs="FrankRuehl"/>
          <w:sz w:val="28"/>
          <w:szCs w:val="28"/>
          <w:rtl/>
        </w:rPr>
        <w:t>מצאו עצמם נאבקים בסיטואציה כ</w:t>
      </w:r>
      <w:r>
        <w:rPr>
          <w:rFonts w:ascii="FrankRuehl" w:hAnsi="FrankRuehl" w:cs="FrankRuehl" w:hint="cs"/>
          <w:sz w:val="28"/>
          <w:szCs w:val="28"/>
          <w:rtl/>
        </w:rPr>
        <w:t xml:space="preserve">גון דא.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אליבא דאמת, כולל כתב התביעה תיאור של מקצת ההליכים המשפטיים אשר ננקטו בין הצדדים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וכל כולם נעוצים בניסיונה של האם למנוע קשר בין האב לבין</w:t>
      </w:r>
      <w:r>
        <w:rPr>
          <w:rFonts w:ascii="FrankRuehl" w:hAnsi="FrankRuehl" w:cs="FrankRuehl" w:hint="cs"/>
          <w:sz w:val="28"/>
          <w:szCs w:val="28"/>
          <w:rtl/>
        </w:rPr>
        <w:t xml:space="preserve"> </w:t>
      </w:r>
      <w:r w:rsidRPr="00C33E17">
        <w:rPr>
          <w:rFonts w:ascii="FrankRuehl" w:hAnsi="FrankRuehl" w:cs="FrankRuehl"/>
          <w:sz w:val="28"/>
          <w:szCs w:val="28"/>
          <w:rtl/>
        </w:rPr>
        <w:t>הקטינה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או לפחות להקטינם ככל האפשר.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>
        <w:rPr>
          <w:rFonts w:ascii="FrankRuehl" w:hAnsi="FrankRuehl" w:cs="FrankRuehl" w:hint="cs"/>
          <w:sz w:val="28"/>
          <w:szCs w:val="28"/>
          <w:rtl/>
        </w:rPr>
        <w:t xml:space="preserve">למשל, </w:t>
      </w:r>
      <w:r w:rsidRPr="00C33E17">
        <w:rPr>
          <w:rFonts w:ascii="FrankRuehl" w:hAnsi="FrankRuehl" w:cs="FrankRuehl"/>
          <w:sz w:val="28"/>
          <w:szCs w:val="28"/>
          <w:rtl/>
        </w:rPr>
        <w:t>כאשר החליפה האם עורכי דין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ונדמה לי שלא מדובר רק בשניים</w:t>
      </w:r>
      <w:r>
        <w:rPr>
          <w:rFonts w:ascii="FrankRuehl" w:hAnsi="FrankRuehl" w:cs="FrankRuehl" w:hint="cs"/>
          <w:sz w:val="28"/>
          <w:szCs w:val="28"/>
          <w:rtl/>
        </w:rPr>
        <w:t xml:space="preserve"> כאלה;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כאשר </w:t>
      </w:r>
      <w:r>
        <w:rPr>
          <w:rFonts w:ascii="FrankRuehl" w:hAnsi="FrankRuehl" w:cs="FrankRuehl" w:hint="cs"/>
          <w:sz w:val="28"/>
          <w:szCs w:val="28"/>
          <w:rtl/>
        </w:rPr>
        <w:t xml:space="preserve">חתרה האם </w:t>
      </w:r>
      <w:r w:rsidRPr="00C33E17">
        <w:rPr>
          <w:rFonts w:ascii="FrankRuehl" w:hAnsi="FrankRuehl" w:cs="FrankRuehl"/>
          <w:sz w:val="28"/>
          <w:szCs w:val="28"/>
          <w:rtl/>
        </w:rPr>
        <w:t>שוב ושוב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גם על דרך בקשות חוזרות לעיכובי ביצוע וערעורים </w:t>
      </w:r>
      <w:r>
        <w:rPr>
          <w:rFonts w:ascii="FrankRuehl" w:hAnsi="FrankRuehl" w:cs="FrankRuehl" w:hint="cs"/>
          <w:sz w:val="28"/>
          <w:szCs w:val="28"/>
          <w:rtl/>
        </w:rPr>
        <w:t>ו</w:t>
      </w:r>
      <w:r w:rsidRPr="00C33E17">
        <w:rPr>
          <w:rFonts w:ascii="FrankRuehl" w:hAnsi="FrankRuehl" w:cs="FrankRuehl"/>
          <w:sz w:val="28"/>
          <w:szCs w:val="28"/>
          <w:rtl/>
        </w:rPr>
        <w:t>למניעת זמני שהות</w:t>
      </w:r>
      <w:r>
        <w:rPr>
          <w:rFonts w:ascii="FrankRuehl" w:hAnsi="FrankRuehl" w:cs="FrankRuehl" w:hint="cs"/>
          <w:sz w:val="28"/>
          <w:szCs w:val="28"/>
          <w:rtl/>
        </w:rPr>
        <w:t>;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כאשר בית המשפט מגדיר את התנגדויותיה </w:t>
      </w:r>
      <w:r>
        <w:rPr>
          <w:rFonts w:ascii="FrankRuehl" w:hAnsi="FrankRuehl" w:cs="FrankRuehl" w:hint="cs"/>
          <w:sz w:val="28"/>
          <w:szCs w:val="28"/>
          <w:rtl/>
        </w:rPr>
        <w:t xml:space="preserve">של האם </w:t>
      </w:r>
      <w:r w:rsidRPr="00C33E17">
        <w:rPr>
          <w:rFonts w:ascii="FrankRuehl" w:hAnsi="FrankRuehl" w:cs="FrankRuehl"/>
          <w:sz w:val="28"/>
          <w:szCs w:val="28"/>
          <w:rtl/>
        </w:rPr>
        <w:t>לקשר כהתנהגות לשם ההתנגדות</w:t>
      </w:r>
      <w:r>
        <w:rPr>
          <w:rFonts w:ascii="FrankRuehl" w:hAnsi="FrankRuehl" w:cs="FrankRuehl" w:hint="cs"/>
          <w:sz w:val="28"/>
          <w:szCs w:val="28"/>
          <w:rtl/>
        </w:rPr>
        <w:t xml:space="preserve">, </w:t>
      </w:r>
      <w:r w:rsidRPr="00C33E17">
        <w:rPr>
          <w:rFonts w:ascii="FrankRuehl" w:hAnsi="FrankRuehl" w:cs="FrankRuehl"/>
          <w:sz w:val="28"/>
          <w:szCs w:val="28"/>
          <w:rtl/>
        </w:rPr>
        <w:t>נכנסת האם לגדרו של מי שנתפס כהורה מנכר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גם אם לא צולחת מלאכת</w:t>
      </w:r>
      <w:r>
        <w:rPr>
          <w:rFonts w:ascii="FrankRuehl" w:hAnsi="FrankRuehl" w:cs="FrankRuehl" w:hint="cs"/>
          <w:sz w:val="28"/>
          <w:szCs w:val="28"/>
          <w:rtl/>
        </w:rPr>
        <w:t>ה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תמיד</w:t>
      </w:r>
      <w:r>
        <w:rPr>
          <w:rFonts w:ascii="FrankRuehl" w:hAnsi="FrankRuehl" w:cs="FrankRuehl" w:hint="cs"/>
          <w:sz w:val="28"/>
          <w:szCs w:val="28"/>
          <w:rtl/>
        </w:rPr>
        <w:t xml:space="preserve"> </w:t>
      </w:r>
      <w:r>
        <w:rPr>
          <w:rFonts w:ascii="FrankRuehl" w:hAnsi="FrankRuehl" w:cs="FrankRuehl"/>
          <w:sz w:val="28"/>
          <w:szCs w:val="28"/>
          <w:rtl/>
        </w:rPr>
        <w:t>–</w:t>
      </w:r>
      <w:r>
        <w:rPr>
          <w:rFonts w:ascii="FrankRuehl" w:hAnsi="FrankRuehl" w:cs="FrankRuehl" w:hint="cs"/>
          <w:sz w:val="28"/>
          <w:szCs w:val="28"/>
          <w:rtl/>
        </w:rPr>
        <w:t xml:space="preserve"> </w:t>
      </w:r>
      <w:r w:rsidRPr="00C33E17">
        <w:rPr>
          <w:rFonts w:ascii="FrankRuehl" w:hAnsi="FrankRuehl" w:cs="FrankRuehl"/>
          <w:sz w:val="28"/>
          <w:szCs w:val="28"/>
          <w:rtl/>
        </w:rPr>
        <w:t>קרי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מי שללא צידוק מנסה לפגוע בקשר שבין ההורה האחר לבין ילדו.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בעידן של שוויוניות הורית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ילד אינו רכושו של אביו</w:t>
      </w:r>
      <w:r>
        <w:rPr>
          <w:rFonts w:ascii="FrankRuehl" w:hAnsi="FrankRuehl" w:cs="FrankRuehl" w:hint="cs"/>
          <w:sz w:val="28"/>
          <w:szCs w:val="28"/>
          <w:rtl/>
        </w:rPr>
        <w:t xml:space="preserve"> ו</w:t>
      </w:r>
      <w:r w:rsidRPr="00C33E17">
        <w:rPr>
          <w:rFonts w:ascii="FrankRuehl" w:hAnsi="FrankRuehl" w:cs="FrankRuehl"/>
          <w:sz w:val="28"/>
          <w:szCs w:val="28"/>
          <w:rtl/>
        </w:rPr>
        <w:t>הוא אינו רכושו של אמו</w:t>
      </w:r>
      <w:r>
        <w:rPr>
          <w:rFonts w:ascii="FrankRuehl" w:hAnsi="FrankRuehl" w:cs="FrankRuehl" w:hint="cs"/>
          <w:sz w:val="28"/>
          <w:szCs w:val="28"/>
          <w:rtl/>
        </w:rPr>
        <w:t>.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הדברים נכונים גם לילדים בגיל הרך. </w:t>
      </w: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אולי אומר </w:t>
      </w:r>
      <w:r>
        <w:rPr>
          <w:rFonts w:ascii="FrankRuehl" w:hAnsi="FrankRuehl" w:cs="FrankRuehl" w:hint="cs"/>
          <w:sz w:val="28"/>
          <w:szCs w:val="28"/>
          <w:rtl/>
        </w:rPr>
        <w:t>ה</w:t>
      </w:r>
      <w:r w:rsidRPr="00C33E17">
        <w:rPr>
          <w:rFonts w:ascii="FrankRuehl" w:hAnsi="FrankRuehl" w:cs="FrankRuehl"/>
          <w:sz w:val="28"/>
          <w:szCs w:val="28"/>
          <w:rtl/>
        </w:rPr>
        <w:t>הפך</w:t>
      </w:r>
      <w:r>
        <w:rPr>
          <w:rFonts w:ascii="FrankRuehl" w:hAnsi="FrankRuehl" w:cs="FrankRuehl" w:hint="cs"/>
          <w:sz w:val="28"/>
          <w:szCs w:val="28"/>
          <w:rtl/>
        </w:rPr>
        <w:t xml:space="preserve"> וכבר אמרתי זאת, גם בית המשפט המחוזי </w:t>
      </w:r>
      <w:r>
        <w:rPr>
          <w:rFonts w:ascii="FrankRuehl" w:hAnsi="FrankRuehl" w:cs="FrankRuehl"/>
          <w:sz w:val="28"/>
          <w:szCs w:val="28"/>
          <w:rtl/>
        </w:rPr>
        <w:t>–</w:t>
      </w:r>
      <w:r>
        <w:rPr>
          <w:rFonts w:ascii="FrankRuehl" w:hAnsi="FrankRuehl" w:cs="FrankRuehl" w:hint="cs"/>
          <w:sz w:val="28"/>
          <w:szCs w:val="28"/>
          <w:rtl/>
        </w:rPr>
        <w:t xml:space="preserve"> </w:t>
      </w:r>
      <w:r w:rsidRPr="00C33E17">
        <w:rPr>
          <w:rFonts w:ascii="FrankRuehl" w:hAnsi="FrankRuehl" w:cs="FrankRuehl"/>
          <w:sz w:val="28"/>
          <w:szCs w:val="28"/>
          <w:rtl/>
        </w:rPr>
        <w:t>בימינו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נשים אינן </w:t>
      </w:r>
      <w:r>
        <w:rPr>
          <w:rFonts w:ascii="FrankRuehl" w:hAnsi="FrankRuehl" w:cs="FrankRuehl" w:hint="cs"/>
          <w:sz w:val="28"/>
          <w:szCs w:val="28"/>
          <w:rtl/>
        </w:rPr>
        <w:t>"</w:t>
      </w:r>
      <w:r w:rsidRPr="00C33E17">
        <w:rPr>
          <w:rFonts w:ascii="FrankRuehl" w:hAnsi="FrankRuehl" w:cs="FrankRuehl"/>
          <w:sz w:val="28"/>
          <w:szCs w:val="28"/>
          <w:rtl/>
        </w:rPr>
        <w:t>מכונות האכלה</w:t>
      </w:r>
      <w:r>
        <w:rPr>
          <w:rFonts w:ascii="FrankRuehl" w:hAnsi="FrankRuehl" w:cs="FrankRuehl" w:hint="cs"/>
          <w:sz w:val="28"/>
          <w:szCs w:val="28"/>
          <w:rtl/>
        </w:rPr>
        <w:t>"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, </w:t>
      </w:r>
      <w:r>
        <w:rPr>
          <w:rFonts w:ascii="FrankRuehl" w:hAnsi="FrankRuehl" w:cs="FrankRuehl" w:hint="cs"/>
          <w:sz w:val="28"/>
          <w:szCs w:val="28"/>
          <w:rtl/>
        </w:rPr>
        <w:t xml:space="preserve">הן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אינן </w:t>
      </w:r>
      <w:r>
        <w:rPr>
          <w:rFonts w:ascii="FrankRuehl" w:hAnsi="FrankRuehl" w:cs="FrankRuehl" w:hint="cs"/>
          <w:sz w:val="28"/>
          <w:szCs w:val="28"/>
          <w:rtl/>
        </w:rPr>
        <w:t>"</w:t>
      </w:r>
      <w:r w:rsidRPr="00C33E17">
        <w:rPr>
          <w:rFonts w:ascii="FrankRuehl" w:hAnsi="FrankRuehl" w:cs="FrankRuehl"/>
          <w:sz w:val="28"/>
          <w:szCs w:val="28"/>
          <w:rtl/>
        </w:rPr>
        <w:t>מכונות כביסה</w:t>
      </w:r>
      <w:r>
        <w:rPr>
          <w:rFonts w:ascii="FrankRuehl" w:hAnsi="FrankRuehl" w:cs="FrankRuehl" w:hint="cs"/>
          <w:sz w:val="28"/>
          <w:szCs w:val="28"/>
          <w:rtl/>
        </w:rPr>
        <w:t>"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, </w:t>
      </w:r>
      <w:r>
        <w:rPr>
          <w:rFonts w:ascii="FrankRuehl" w:hAnsi="FrankRuehl" w:cs="FrankRuehl" w:hint="cs"/>
          <w:sz w:val="28"/>
          <w:szCs w:val="28"/>
          <w:rtl/>
        </w:rPr>
        <w:t xml:space="preserve">הן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אינן כלי שרת ואינן </w:t>
      </w:r>
      <w:r>
        <w:rPr>
          <w:rFonts w:ascii="FrankRuehl" w:hAnsi="FrankRuehl" w:cs="FrankRuehl" w:hint="cs"/>
          <w:sz w:val="28"/>
          <w:szCs w:val="28"/>
          <w:rtl/>
        </w:rPr>
        <w:t xml:space="preserve">כדי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לכפות </w:t>
      </w:r>
      <w:r>
        <w:rPr>
          <w:rFonts w:ascii="FrankRuehl" w:hAnsi="FrankRuehl" w:cs="FrankRuehl" w:hint="cs"/>
          <w:sz w:val="28"/>
          <w:szCs w:val="28"/>
          <w:rtl/>
        </w:rPr>
        <w:t xml:space="preserve">עליהן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להיות </w:t>
      </w:r>
      <w:r>
        <w:rPr>
          <w:rFonts w:ascii="FrankRuehl" w:hAnsi="FrankRuehl" w:cs="FrankRuehl" w:hint="cs"/>
          <w:sz w:val="28"/>
          <w:szCs w:val="28"/>
          <w:rtl/>
        </w:rPr>
        <w:t>"</w:t>
      </w:r>
      <w:r w:rsidRPr="00C33E17">
        <w:rPr>
          <w:rFonts w:ascii="FrankRuehl" w:hAnsi="FrankRuehl" w:cs="FrankRuehl"/>
          <w:sz w:val="28"/>
          <w:szCs w:val="28"/>
          <w:rtl/>
        </w:rPr>
        <w:t>בייבי</w:t>
      </w:r>
      <w:r>
        <w:rPr>
          <w:rFonts w:ascii="FrankRuehl" w:hAnsi="FrankRuehl" w:cs="FrankRuehl" w:hint="cs"/>
          <w:sz w:val="28"/>
          <w:szCs w:val="28"/>
          <w:rtl/>
        </w:rPr>
        <w:t>-</w:t>
      </w:r>
      <w:r w:rsidRPr="00C33E17">
        <w:rPr>
          <w:rFonts w:ascii="FrankRuehl" w:hAnsi="FrankRuehl" w:cs="FrankRuehl"/>
          <w:sz w:val="28"/>
          <w:szCs w:val="28"/>
          <w:rtl/>
        </w:rPr>
        <w:t>סיטרים</w:t>
      </w:r>
      <w:r>
        <w:rPr>
          <w:rFonts w:ascii="FrankRuehl" w:hAnsi="FrankRuehl" w:cs="FrankRuehl" w:hint="cs"/>
          <w:sz w:val="28"/>
          <w:szCs w:val="28"/>
          <w:rtl/>
        </w:rPr>
        <w:t>". לנשים ה</w:t>
      </w:r>
      <w:r w:rsidRPr="00C33E17">
        <w:rPr>
          <w:rFonts w:ascii="FrankRuehl" w:hAnsi="FrankRuehl" w:cs="FrankRuehl"/>
          <w:sz w:val="28"/>
          <w:szCs w:val="28"/>
          <w:rtl/>
        </w:rPr>
        <w:t>זכות לנהל קשרים חברתיים</w:t>
      </w:r>
      <w:r>
        <w:rPr>
          <w:rFonts w:ascii="FrankRuehl" w:hAnsi="FrankRuehl" w:cs="FrankRuehl" w:hint="cs"/>
          <w:sz w:val="28"/>
          <w:szCs w:val="28"/>
          <w:rtl/>
        </w:rPr>
        <w:t xml:space="preserve"> ולצאת ל</w:t>
      </w:r>
      <w:r w:rsidRPr="00C33E17">
        <w:rPr>
          <w:rFonts w:ascii="FrankRuehl" w:hAnsi="FrankRuehl" w:cs="FrankRuehl"/>
          <w:sz w:val="28"/>
          <w:szCs w:val="28"/>
          <w:rtl/>
        </w:rPr>
        <w:t>בילויים</w:t>
      </w:r>
      <w:r>
        <w:rPr>
          <w:rFonts w:ascii="FrankRuehl" w:hAnsi="FrankRuehl" w:cs="FrankRuehl" w:hint="cs"/>
          <w:sz w:val="28"/>
          <w:szCs w:val="28"/>
          <w:rtl/>
        </w:rPr>
        <w:t xml:space="preserve">, כאשר מן </w:t>
      </w:r>
      <w:r w:rsidRPr="00C33E17">
        <w:rPr>
          <w:rFonts w:ascii="FrankRuehl" w:hAnsi="FrankRuehl" w:cs="FrankRuehl"/>
          <w:sz w:val="28"/>
          <w:szCs w:val="28"/>
          <w:rtl/>
        </w:rPr>
        <w:t>הצד השני מוטלת על האבות החובה לטפל בילדיהם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בדיוק כ</w:t>
      </w:r>
      <w:r>
        <w:rPr>
          <w:rFonts w:ascii="FrankRuehl" w:hAnsi="FrankRuehl" w:cs="FrankRuehl" w:hint="cs"/>
          <w:sz w:val="28"/>
          <w:szCs w:val="28"/>
          <w:rtl/>
        </w:rPr>
        <w:t>פי ה</w:t>
      </w:r>
      <w:r w:rsidRPr="00C33E17">
        <w:rPr>
          <w:rFonts w:ascii="FrankRuehl" w:hAnsi="FrankRuehl" w:cs="FrankRuehl"/>
          <w:sz w:val="28"/>
          <w:szCs w:val="28"/>
          <w:rtl/>
        </w:rPr>
        <w:t>אמהות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ולאמהות אין </w:t>
      </w:r>
      <w:r>
        <w:rPr>
          <w:rFonts w:ascii="FrankRuehl" w:hAnsi="FrankRuehl" w:cs="FrankRuehl" w:hint="cs"/>
          <w:sz w:val="28"/>
          <w:szCs w:val="28"/>
          <w:rtl/>
        </w:rPr>
        <w:t xml:space="preserve">אפשרות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לגזול מן האבות זכות זו.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אין לי כל חפץ </w:t>
      </w:r>
      <w:r>
        <w:rPr>
          <w:rFonts w:ascii="FrankRuehl" w:hAnsi="FrankRuehl" w:cs="FrankRuehl" w:hint="cs"/>
          <w:sz w:val="28"/>
          <w:szCs w:val="28"/>
          <w:rtl/>
        </w:rPr>
        <w:t xml:space="preserve">ורצון </w:t>
      </w:r>
      <w:r w:rsidRPr="00C33E17">
        <w:rPr>
          <w:rFonts w:ascii="FrankRuehl" w:hAnsi="FrankRuehl" w:cs="FrankRuehl"/>
          <w:sz w:val="28"/>
          <w:szCs w:val="28"/>
          <w:rtl/>
        </w:rPr>
        <w:t>לעסוק בסרבנותו של האב בעבר להינשא לאם. אומר רק</w:t>
      </w:r>
      <w:r>
        <w:rPr>
          <w:rFonts w:ascii="FrankRuehl" w:hAnsi="FrankRuehl" w:cs="FrankRuehl" w:hint="cs"/>
          <w:sz w:val="28"/>
          <w:szCs w:val="28"/>
          <w:rtl/>
        </w:rPr>
        <w:t xml:space="preserve">, כי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עתירתו של האב לבירור אבהות כשלעצמה אינה הופכת אותו לפחות אב מכל אב אחר. </w:t>
      </w: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הדין הישראלי מאפשר לאדם שאינו נשוי לזולתו לברר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בדרך מדעית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>
        <w:rPr>
          <w:rFonts w:ascii="FrankRuehl" w:hAnsi="FrankRuehl" w:cs="FrankRuehl"/>
          <w:sz w:val="28"/>
          <w:szCs w:val="28"/>
          <w:rtl/>
        </w:rPr>
        <w:t xml:space="preserve"> את אבהותו</w:t>
      </w:r>
      <w:r>
        <w:rPr>
          <w:rFonts w:ascii="FrankRuehl" w:hAnsi="FrankRuehl" w:cs="FrankRuehl" w:hint="cs"/>
          <w:sz w:val="28"/>
          <w:szCs w:val="28"/>
          <w:rtl/>
        </w:rPr>
        <w:t xml:space="preserve"> ו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הדברים אינם פועלים נגד </w:t>
      </w:r>
      <w:r>
        <w:rPr>
          <w:rFonts w:ascii="FrankRuehl" w:hAnsi="FrankRuehl" w:cs="FrankRuehl" w:hint="cs"/>
          <w:sz w:val="28"/>
          <w:szCs w:val="28"/>
          <w:rtl/>
        </w:rPr>
        <w:t xml:space="preserve">או לטובת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האב.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אין עורר שבשל התנגדויותיה של האם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אזי מפגשי האב עם הקטינה </w:t>
      </w:r>
      <w:r>
        <w:rPr>
          <w:rFonts w:ascii="FrankRuehl" w:hAnsi="FrankRuehl" w:cs="FrankRuehl" w:hint="cs"/>
          <w:sz w:val="28"/>
          <w:szCs w:val="28"/>
          <w:rtl/>
        </w:rPr>
        <w:t>"</w:t>
      </w:r>
      <w:r w:rsidRPr="00C33E17">
        <w:rPr>
          <w:rFonts w:ascii="FrankRuehl" w:hAnsi="FrankRuehl" w:cs="FrankRuehl"/>
          <w:sz w:val="28"/>
          <w:szCs w:val="28"/>
          <w:rtl/>
        </w:rPr>
        <w:t>הוצרכו</w:t>
      </w:r>
      <w:r>
        <w:rPr>
          <w:rFonts w:ascii="FrankRuehl" w:hAnsi="FrankRuehl" w:cs="FrankRuehl" w:hint="cs"/>
          <w:sz w:val="28"/>
          <w:szCs w:val="28"/>
          <w:rtl/>
        </w:rPr>
        <w:t>"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לה</w:t>
      </w:r>
      <w:r>
        <w:rPr>
          <w:rFonts w:ascii="FrankRuehl" w:hAnsi="FrankRuehl" w:cs="FrankRuehl" w:hint="cs"/>
          <w:sz w:val="28"/>
          <w:szCs w:val="28"/>
          <w:rtl/>
        </w:rPr>
        <w:t xml:space="preserve">תקיים </w:t>
      </w:r>
      <w:r w:rsidRPr="00C33E17">
        <w:rPr>
          <w:rFonts w:ascii="FrankRuehl" w:hAnsi="FrankRuehl" w:cs="FrankRuehl"/>
          <w:sz w:val="28"/>
          <w:szCs w:val="28"/>
          <w:rtl/>
        </w:rPr>
        <w:t>במרכז הקשר, בבחינת חודשים אשר חלפו עד אשר התאפשר קשר כזה.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</w:rPr>
      </w:pPr>
      <w:r w:rsidRPr="00C33E17">
        <w:rPr>
          <w:rFonts w:ascii="FrankRuehl" w:hAnsi="FrankRuehl" w:cs="FrankRuehl"/>
          <w:sz w:val="28"/>
          <w:szCs w:val="28"/>
          <w:rtl/>
        </w:rPr>
        <w:t>אין עורר שדעתה של האם לא היתה נוחה גם עם המפגשים במרכז הקשר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ונטענו טענות ולפיהן נוכחות האב גורמת לבת הפרעות באכילה</w:t>
      </w:r>
      <w:r>
        <w:rPr>
          <w:rFonts w:ascii="FrankRuehl" w:hAnsi="FrankRuehl" w:cs="FrankRuehl" w:hint="cs"/>
          <w:sz w:val="28"/>
          <w:szCs w:val="28"/>
          <w:rtl/>
        </w:rPr>
        <w:t xml:space="preserve"> וכי </w:t>
      </w:r>
      <w:r w:rsidRPr="00C33E17">
        <w:rPr>
          <w:rFonts w:ascii="FrankRuehl" w:hAnsi="FrankRuehl" w:cs="FrankRuehl"/>
          <w:sz w:val="28"/>
          <w:szCs w:val="28"/>
          <w:rtl/>
        </w:rPr>
        <w:t>הקטינה מסרבת לאכול רק בעטיו של האב</w:t>
      </w:r>
      <w:r>
        <w:rPr>
          <w:rFonts w:ascii="FrankRuehl" w:hAnsi="FrankRuehl" w:cs="FrankRuehl" w:hint="cs"/>
          <w:sz w:val="28"/>
          <w:szCs w:val="28"/>
          <w:rtl/>
        </w:rPr>
        <w:t>.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</w:t>
      </w: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אם </w:t>
      </w:r>
      <w:r>
        <w:rPr>
          <w:rFonts w:ascii="FrankRuehl" w:hAnsi="FrankRuehl" w:cs="FrankRuehl" w:hint="cs"/>
          <w:sz w:val="28"/>
          <w:szCs w:val="28"/>
          <w:rtl/>
        </w:rPr>
        <w:t>"</w:t>
      </w:r>
      <w:r w:rsidRPr="00C33E17">
        <w:rPr>
          <w:rFonts w:ascii="FrankRuehl" w:hAnsi="FrankRuehl" w:cs="FrankRuehl"/>
          <w:sz w:val="28"/>
          <w:szCs w:val="28"/>
          <w:rtl/>
        </w:rPr>
        <w:t>נקפוץ</w:t>
      </w:r>
      <w:r>
        <w:rPr>
          <w:rFonts w:ascii="FrankRuehl" w:hAnsi="FrankRuehl" w:cs="FrankRuehl" w:hint="cs"/>
          <w:sz w:val="28"/>
          <w:szCs w:val="28"/>
          <w:rtl/>
        </w:rPr>
        <w:t>"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ארוכות בזמן, אזי גם בדיון היום נשמעו רמזים ולפיהם בית האב גורם לקטינה מחלות וזיהומים.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</w:rPr>
      </w:pPr>
      <w:r w:rsidRPr="00C33E17">
        <w:rPr>
          <w:rFonts w:ascii="FrankRuehl" w:hAnsi="FrankRuehl" w:cs="FrankRuehl"/>
          <w:sz w:val="28"/>
          <w:szCs w:val="28"/>
          <w:rtl/>
        </w:rPr>
        <w:lastRenderedPageBreak/>
        <w:t xml:space="preserve">האם טענה כי נוכחות האב והביקורים במרכז הקשר משבשים את זמני השינה של הקטינה, כל זאת כמובן ממפגשים </w:t>
      </w:r>
      <w:r>
        <w:rPr>
          <w:rFonts w:ascii="FrankRuehl" w:hAnsi="FrankRuehl" w:cs="FrankRuehl" w:hint="cs"/>
          <w:sz w:val="28"/>
          <w:szCs w:val="28"/>
          <w:rtl/>
        </w:rPr>
        <w:t>באורך ש</w:t>
      </w:r>
      <w:r w:rsidRPr="00C33E17">
        <w:rPr>
          <w:rFonts w:ascii="FrankRuehl" w:hAnsi="FrankRuehl" w:cs="FrankRuehl"/>
          <w:sz w:val="28"/>
          <w:szCs w:val="28"/>
          <w:rtl/>
        </w:rPr>
        <w:t>עה במרכז הקשר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פעמיים בשבוע. </w:t>
      </w:r>
    </w:p>
    <w:p w:rsidR="00B97160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</w:p>
    <w:p w:rsidR="00B97160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האב נאלץ להגיש תובענה לעניין קבלת מידע </w:t>
      </w:r>
      <w:r>
        <w:rPr>
          <w:rFonts w:ascii="FrankRuehl" w:hAnsi="FrankRuehl" w:cs="FrankRuehl" w:hint="cs"/>
          <w:sz w:val="28"/>
          <w:szCs w:val="28"/>
          <w:rtl/>
        </w:rPr>
        <w:t xml:space="preserve">אשר </w:t>
      </w:r>
      <w:r w:rsidRPr="00C33E17">
        <w:rPr>
          <w:rFonts w:ascii="FrankRuehl" w:hAnsi="FrankRuehl" w:cs="FrankRuehl"/>
          <w:sz w:val="28"/>
          <w:szCs w:val="28"/>
          <w:rtl/>
        </w:rPr>
        <w:t>למסגרת החינוכית של הקטינה, תוך שהאם מסרבת בכל תוקף</w:t>
      </w:r>
      <w:r>
        <w:rPr>
          <w:rFonts w:ascii="FrankRuehl" w:hAnsi="FrankRuehl" w:cs="FrankRuehl" w:hint="cs"/>
          <w:sz w:val="28"/>
          <w:szCs w:val="28"/>
          <w:rtl/>
        </w:rPr>
        <w:t xml:space="preserve"> ואז בית המשפט </w:t>
      </w:r>
      <w:r w:rsidRPr="00C33E17">
        <w:rPr>
          <w:rFonts w:ascii="FrankRuehl" w:hAnsi="FrankRuehl" w:cs="FrankRuehl"/>
          <w:sz w:val="28"/>
          <w:szCs w:val="28"/>
          <w:rtl/>
        </w:rPr>
        <w:t>נאלץ להזכיר לאם כי לאב זכויות ולא רק לה</w:t>
      </w:r>
      <w:r>
        <w:rPr>
          <w:rFonts w:ascii="FrankRuehl" w:hAnsi="FrankRuehl" w:cs="FrankRuehl" w:hint="cs"/>
          <w:sz w:val="28"/>
          <w:szCs w:val="28"/>
          <w:rtl/>
        </w:rPr>
        <w:t>.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</w:t>
      </w:r>
    </w:p>
    <w:p w:rsidR="00B97160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המפגשים במרכז הקשר נתקלו בקשיים לא מועטים ו</w:t>
      </w:r>
      <w:r>
        <w:rPr>
          <w:rFonts w:ascii="FrankRuehl" w:hAnsi="FrankRuehl" w:cs="FrankRuehl" w:hint="cs"/>
          <w:sz w:val="28"/>
          <w:szCs w:val="28"/>
          <w:rtl/>
        </w:rPr>
        <w:t xml:space="preserve">אז, </w:t>
      </w:r>
      <w:r w:rsidRPr="00C33E17">
        <w:rPr>
          <w:rFonts w:ascii="FrankRuehl" w:hAnsi="FrankRuehl" w:cs="FrankRuehl"/>
          <w:sz w:val="28"/>
          <w:szCs w:val="28"/>
          <w:rtl/>
        </w:rPr>
        <w:t>שוב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נאלץ בית המשפט ביום 24.03.2022 להורות לאם את מה שהיתה צריכה לדעת מהוראות הדין</w:t>
      </w:r>
      <w:r>
        <w:rPr>
          <w:rFonts w:ascii="FrankRuehl" w:hAnsi="FrankRuehl" w:cs="FrankRuehl" w:hint="cs"/>
          <w:sz w:val="28"/>
          <w:szCs w:val="28"/>
          <w:rtl/>
        </w:rPr>
        <w:t xml:space="preserve"> </w:t>
      </w:r>
      <w:r>
        <w:rPr>
          <w:rFonts w:ascii="FrankRuehl" w:hAnsi="FrankRuehl" w:cs="FrankRuehl"/>
          <w:sz w:val="28"/>
          <w:szCs w:val="28"/>
          <w:rtl/>
        </w:rPr>
        <w:t>–</w:t>
      </w:r>
      <w:r>
        <w:rPr>
          <w:rFonts w:ascii="FrankRuehl" w:hAnsi="FrankRuehl" w:cs="FrankRuehl" w:hint="cs"/>
          <w:sz w:val="28"/>
          <w:szCs w:val="28"/>
          <w:rtl/>
        </w:rPr>
        <w:t xml:space="preserve">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כי עליה לקיים את המפגשים במרכז הקשר.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כאשר הורה רואה בהוראות בית המשפט בבחינת המלצות גרידא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ושהוא רשאי שלא לקיימן, נכנס </w:t>
      </w:r>
      <w:r>
        <w:rPr>
          <w:rFonts w:ascii="FrankRuehl" w:hAnsi="FrankRuehl" w:cs="FrankRuehl" w:hint="cs"/>
          <w:sz w:val="28"/>
          <w:szCs w:val="28"/>
          <w:rtl/>
        </w:rPr>
        <w:t xml:space="preserve">הוא </w:t>
      </w:r>
      <w:r w:rsidRPr="00C33E17">
        <w:rPr>
          <w:rFonts w:ascii="FrankRuehl" w:hAnsi="FrankRuehl" w:cs="FrankRuehl"/>
          <w:sz w:val="28"/>
          <w:szCs w:val="28"/>
          <w:rtl/>
        </w:rPr>
        <w:t>תחת קריטריון נוסף של קיו</w:t>
      </w:r>
      <w:r>
        <w:rPr>
          <w:rFonts w:ascii="FrankRuehl" w:hAnsi="FrankRuehl" w:cs="FrankRuehl" w:hint="cs"/>
          <w:sz w:val="28"/>
          <w:szCs w:val="28"/>
          <w:rtl/>
        </w:rPr>
        <w:t>ם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ניכור הורי.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אין עורר עוד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</w:t>
      </w:r>
      <w:r>
        <w:rPr>
          <w:rFonts w:ascii="FrankRuehl" w:hAnsi="FrankRuehl" w:cs="FrankRuehl" w:hint="cs"/>
          <w:sz w:val="28"/>
          <w:szCs w:val="28"/>
          <w:rtl/>
        </w:rPr>
        <w:t xml:space="preserve">זאת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כעולה מפרוטוקול הדיון מיום 18.07.2022, מעדות נציגת מרכז הקשר </w:t>
      </w:r>
      <w:r>
        <w:rPr>
          <w:rFonts w:ascii="FrankRuehl" w:hAnsi="FrankRuehl" w:cs="FrankRuehl" w:hint="cs"/>
          <w:sz w:val="28"/>
          <w:szCs w:val="28"/>
          <w:rtl/>
        </w:rPr>
        <w:t>ו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גם מדברי האפוטרופא לדין היום, </w:t>
      </w:r>
      <w:r>
        <w:rPr>
          <w:rFonts w:ascii="FrankRuehl" w:hAnsi="FrankRuehl" w:cs="FrankRuehl" w:hint="cs"/>
          <w:sz w:val="28"/>
          <w:szCs w:val="28"/>
          <w:rtl/>
        </w:rPr>
        <w:t xml:space="preserve">כי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האב כשיר ויכול לטפל בבת.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אין גם עורר שהאם ניסתה לפסול את ה</w:t>
      </w:r>
      <w:r>
        <w:rPr>
          <w:rFonts w:ascii="FrankRuehl" w:hAnsi="FrankRuehl" w:cs="FrankRuehl" w:hint="cs"/>
          <w:sz w:val="28"/>
          <w:szCs w:val="28"/>
          <w:rtl/>
        </w:rPr>
        <w:t>מותב העיקרי</w:t>
      </w:r>
      <w:r w:rsidRPr="00C33E17">
        <w:rPr>
          <w:rFonts w:ascii="FrankRuehl" w:hAnsi="FrankRuehl" w:cs="FrankRuehl"/>
          <w:sz w:val="28"/>
          <w:szCs w:val="28"/>
          <w:rtl/>
        </w:rPr>
        <w:t>, גם למנוע את העדת נציגת מרכז הקשר, בבחינת חסימת בית המשפט לקבל</w:t>
      </w:r>
      <w:r>
        <w:rPr>
          <w:rFonts w:ascii="FrankRuehl" w:hAnsi="FrankRuehl" w:cs="FrankRuehl" w:hint="cs"/>
          <w:sz w:val="28"/>
          <w:szCs w:val="28"/>
          <w:rtl/>
        </w:rPr>
        <w:t>ת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מידע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</w:t>
      </w:r>
      <w:r>
        <w:rPr>
          <w:rFonts w:ascii="FrankRuehl" w:hAnsi="FrankRuehl" w:cs="FrankRuehl" w:hint="cs"/>
          <w:sz w:val="28"/>
          <w:szCs w:val="28"/>
          <w:rtl/>
        </w:rPr>
        <w:t xml:space="preserve">מידע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אשר לשיטת האם עוד עלול "חלילה" לטייב את הקשר שבין האב לבין הבת.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אמירה היתה </w:t>
      </w:r>
      <w:r>
        <w:rPr>
          <w:rFonts w:ascii="FrankRuehl" w:hAnsi="FrankRuehl" w:cs="FrankRuehl" w:hint="cs"/>
          <w:sz w:val="28"/>
          <w:szCs w:val="28"/>
          <w:rtl/>
        </w:rPr>
        <w:t xml:space="preserve">כי </w:t>
      </w:r>
      <w:r w:rsidRPr="00C33E17">
        <w:rPr>
          <w:rFonts w:ascii="FrankRuehl" w:hAnsi="FrankRuehl" w:cs="FrankRuehl"/>
          <w:sz w:val="28"/>
          <w:szCs w:val="28"/>
          <w:rtl/>
        </w:rPr>
        <w:t>גורמי המקצוע לא ראו רמז לס</w:t>
      </w:r>
      <w:r>
        <w:rPr>
          <w:rFonts w:ascii="FrankRuehl" w:hAnsi="FrankRuehl" w:cs="FrankRuehl"/>
          <w:sz w:val="28"/>
          <w:szCs w:val="28"/>
          <w:rtl/>
        </w:rPr>
        <w:t>יכון כלשהו מצד האב כלפי הקטינה</w:t>
      </w:r>
      <w:r>
        <w:rPr>
          <w:rFonts w:ascii="FrankRuehl" w:hAnsi="FrankRuehl" w:cs="FrankRuehl" w:hint="cs"/>
          <w:sz w:val="28"/>
          <w:szCs w:val="28"/>
          <w:rtl/>
        </w:rPr>
        <w:t xml:space="preserve"> וכאמור, בית המשפט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אמר </w:t>
      </w:r>
      <w:r>
        <w:rPr>
          <w:rFonts w:ascii="FrankRuehl" w:hAnsi="FrankRuehl" w:cs="FrankRuehl" w:hint="cs"/>
          <w:sz w:val="28"/>
          <w:szCs w:val="28"/>
          <w:rtl/>
        </w:rPr>
        <w:t xml:space="preserve">כי </w:t>
      </w:r>
      <w:r w:rsidRPr="00C33E17">
        <w:rPr>
          <w:rFonts w:ascii="FrankRuehl" w:hAnsi="FrankRuehl" w:cs="FrankRuehl"/>
          <w:sz w:val="28"/>
          <w:szCs w:val="28"/>
          <w:rtl/>
        </w:rPr>
        <w:t>האם מתנגדת לשם ההתנגדות</w:t>
      </w:r>
      <w:r>
        <w:rPr>
          <w:rFonts w:ascii="FrankRuehl" w:hAnsi="FrankRuehl" w:cs="FrankRuehl" w:hint="cs"/>
          <w:sz w:val="28"/>
          <w:szCs w:val="28"/>
          <w:rtl/>
        </w:rPr>
        <w:t xml:space="preserve"> </w:t>
      </w:r>
      <w:r>
        <w:rPr>
          <w:rFonts w:ascii="FrankRuehl" w:hAnsi="FrankRuehl" w:cs="FrankRuehl"/>
          <w:sz w:val="28"/>
          <w:szCs w:val="28"/>
          <w:rtl/>
        </w:rPr>
        <w:t>–</w:t>
      </w:r>
      <w:r>
        <w:rPr>
          <w:rFonts w:ascii="FrankRuehl" w:hAnsi="FrankRuehl" w:cs="FrankRuehl" w:hint="cs"/>
          <w:sz w:val="28"/>
          <w:szCs w:val="28"/>
          <w:rtl/>
        </w:rPr>
        <w:t xml:space="preserve">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והרי לך קריטריון נוסף לאפיונו של הורה כמנכר.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אין עורר כי זמני השהות אשר נקבעו ונוהגים </w:t>
      </w:r>
      <w:r>
        <w:rPr>
          <w:rFonts w:ascii="FrankRuehl" w:hAnsi="FrankRuehl" w:cs="FrankRuehl" w:hint="cs"/>
          <w:sz w:val="28"/>
          <w:szCs w:val="28"/>
          <w:rtl/>
        </w:rPr>
        <w:t>כ</w:t>
      </w:r>
      <w:r w:rsidRPr="00C33E17">
        <w:rPr>
          <w:rFonts w:ascii="FrankRuehl" w:hAnsi="FrankRuehl" w:cs="FrankRuehl"/>
          <w:sz w:val="28"/>
          <w:szCs w:val="28"/>
          <w:rtl/>
        </w:rPr>
        <w:t>יום נתקבלו בהסכמה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לא לפני שניצלה האם את יכולותיה להתנגד.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הסכמה לחוד, חודש ימים חל</w:t>
      </w:r>
      <w:r>
        <w:rPr>
          <w:rFonts w:ascii="FrankRuehl" w:hAnsi="FrankRuehl" w:cs="FrankRuehl" w:hint="cs"/>
          <w:sz w:val="28"/>
          <w:szCs w:val="28"/>
          <w:rtl/>
        </w:rPr>
        <w:t>ף,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ומעשה לחוד. כעת הגישה הנתבעת בקשה להפסקת הלינות. </w:t>
      </w: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>
        <w:rPr>
          <w:rFonts w:ascii="FrankRuehl" w:hAnsi="FrankRuehl" w:cs="FrankRuehl" w:hint="cs"/>
          <w:sz w:val="28"/>
          <w:szCs w:val="28"/>
          <w:rtl/>
        </w:rPr>
        <w:t>"על הדרך" ו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בבחינת מאפיין נוסף של ניכור הורי, הגישה האם תלונה על אלימות, אשר נסגרה מחוסר אשם.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אסביר מושכלות יסוד – הרעיון של הטחת האשמות באדם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תוך ניצול הזכות האזרחית להלין בכל מקרה של עבירה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אינו הופך את החשוד למי שנטל הראיה מוטל עליו. </w:t>
      </w: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lastRenderedPageBreak/>
        <w:t>אנו לעתים שומ</w:t>
      </w:r>
      <w:r>
        <w:rPr>
          <w:rFonts w:ascii="FrankRuehl" w:hAnsi="FrankRuehl" w:cs="FrankRuehl" w:hint="cs"/>
          <w:sz w:val="28"/>
          <w:szCs w:val="28"/>
          <w:rtl/>
        </w:rPr>
        <w:t>ע</w:t>
      </w:r>
      <w:r w:rsidRPr="00C33E17">
        <w:rPr>
          <w:rFonts w:ascii="FrankRuehl" w:hAnsi="FrankRuehl" w:cs="FrankRuehl"/>
          <w:sz w:val="28"/>
          <w:szCs w:val="28"/>
          <w:rtl/>
        </w:rPr>
        <w:t>ים מהורים מנכרים את האמירה כי אדם לא הורשע בעבירה בשל חוסר ראיות</w:t>
      </w:r>
      <w:r>
        <w:rPr>
          <w:rFonts w:ascii="FrankRuehl" w:hAnsi="FrankRuehl" w:cs="FrankRuehl" w:hint="cs"/>
          <w:sz w:val="28"/>
          <w:szCs w:val="28"/>
          <w:rtl/>
        </w:rPr>
        <w:t xml:space="preserve"> ו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כי הנטל הוא עליו להוכיח שהוא לא עבריין.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כאשר מוגשת תלונה והתיק נסגר, יש לראות בנילון כמי שזוכה. קל וחומר נכונים הדברים כאן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כאשר נמצא חוסר אשמה ולא חוסר בראיות. </w:t>
      </w: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במצבי חוסר אשמה מתחילים אנו לשאול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האם אין בפנינו תלונת שווא</w:t>
      </w:r>
      <w:r>
        <w:rPr>
          <w:rFonts w:ascii="FrankRuehl" w:hAnsi="FrankRuehl" w:cs="FrankRuehl" w:hint="cs"/>
          <w:sz w:val="28"/>
          <w:szCs w:val="28"/>
          <w:rtl/>
        </w:rPr>
        <w:t>?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מה גם שהאירוע הנטען זכה לתיעוד מצולם.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כמאפיין מצבים של ניכור הורי ייחסה האם לאב בעיות פסיכיאטריות ומסוכנות</w:t>
      </w:r>
      <w:r>
        <w:rPr>
          <w:rFonts w:ascii="FrankRuehl" w:hAnsi="FrankRuehl" w:cs="FrankRuehl" w:hint="cs"/>
          <w:sz w:val="28"/>
          <w:szCs w:val="28"/>
          <w:rtl/>
        </w:rPr>
        <w:t>, זאת ל</w:t>
      </w:r>
      <w:r w:rsidRPr="00C33E17">
        <w:rPr>
          <w:rFonts w:ascii="FrankRuehl" w:hAnsi="FrankRuehl" w:cs="FrankRuehl"/>
          <w:sz w:val="28"/>
          <w:szCs w:val="28"/>
          <w:rtl/>
        </w:rPr>
        <w:t>לא כל בסיס של ממש</w:t>
      </w:r>
      <w:r>
        <w:rPr>
          <w:rFonts w:ascii="FrankRuehl" w:hAnsi="FrankRuehl" w:cs="FrankRuehl" w:hint="cs"/>
          <w:sz w:val="28"/>
          <w:szCs w:val="28"/>
          <w:rtl/>
        </w:rPr>
        <w:t>.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כך, מצאנו עצמנו בערעורים </w:t>
      </w:r>
      <w:r>
        <w:rPr>
          <w:rFonts w:ascii="FrankRuehl" w:hAnsi="FrankRuehl" w:cs="FrankRuehl" w:hint="cs"/>
          <w:sz w:val="28"/>
          <w:szCs w:val="28"/>
          <w:rtl/>
        </w:rPr>
        <w:t xml:space="preserve">שונים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בבית המשפט המחוזי, </w:t>
      </w:r>
      <w:r>
        <w:rPr>
          <w:rFonts w:ascii="FrankRuehl" w:hAnsi="FrankRuehl" w:cs="FrankRuehl" w:hint="cs"/>
          <w:sz w:val="28"/>
          <w:szCs w:val="28"/>
          <w:rtl/>
        </w:rPr>
        <w:t>ב</w:t>
      </w:r>
      <w:r w:rsidRPr="00C33E17">
        <w:rPr>
          <w:rFonts w:ascii="FrankRuehl" w:hAnsi="FrankRuehl" w:cs="FrankRuehl"/>
          <w:sz w:val="28"/>
          <w:szCs w:val="28"/>
          <w:rtl/>
        </w:rPr>
        <w:t>בקשות ל</w:t>
      </w:r>
      <w:r>
        <w:rPr>
          <w:rFonts w:ascii="FrankRuehl" w:hAnsi="FrankRuehl" w:cs="FrankRuehl" w:hint="cs"/>
          <w:sz w:val="28"/>
          <w:szCs w:val="28"/>
          <w:rtl/>
        </w:rPr>
        <w:t xml:space="preserve">מתן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צו הגנה </w:t>
      </w:r>
      <w:r>
        <w:rPr>
          <w:rFonts w:ascii="FrankRuehl" w:hAnsi="FrankRuehl" w:cs="FrankRuehl" w:hint="cs"/>
          <w:sz w:val="28"/>
          <w:szCs w:val="28"/>
          <w:rtl/>
        </w:rPr>
        <w:t>ו</w:t>
      </w:r>
      <w:r w:rsidRPr="00C33E17">
        <w:rPr>
          <w:rFonts w:ascii="FrankRuehl" w:hAnsi="FrankRuehl" w:cs="FrankRuehl"/>
          <w:sz w:val="28"/>
          <w:szCs w:val="28"/>
          <w:rtl/>
        </w:rPr>
        <w:t>המלוות בעשיית דין עצמית של הפרות חוזרות ונשנות של זמני השהות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אשר להם כביכול הסכימה האם.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קשה לראות בהתנהלות שכזו בבחינת מה שטוענת באת כוחה של האם </w:t>
      </w:r>
      <w:r>
        <w:rPr>
          <w:rFonts w:ascii="FrankRuehl" w:hAnsi="FrankRuehl" w:cs="FrankRuehl" w:hint="cs"/>
          <w:sz w:val="28"/>
          <w:szCs w:val="28"/>
          <w:rtl/>
        </w:rPr>
        <w:t>"</w:t>
      </w:r>
      <w:r w:rsidRPr="00C33E17">
        <w:rPr>
          <w:rFonts w:ascii="FrankRuehl" w:hAnsi="FrankRuehl" w:cs="FrankRuehl"/>
          <w:sz w:val="28"/>
          <w:szCs w:val="28"/>
          <w:rtl/>
        </w:rPr>
        <w:t>רק שני נתקים בזמני השהות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בשל מחלות, הא ותו לא</w:t>
      </w:r>
      <w:r>
        <w:rPr>
          <w:rFonts w:ascii="FrankRuehl" w:hAnsi="FrankRuehl" w:cs="FrankRuehl" w:hint="cs"/>
          <w:sz w:val="28"/>
          <w:szCs w:val="28"/>
          <w:rtl/>
        </w:rPr>
        <w:t>"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. לא כך הם פני הדברים, </w:t>
      </w:r>
      <w:r>
        <w:rPr>
          <w:rFonts w:ascii="FrankRuehl" w:hAnsi="FrankRuehl" w:cs="FrankRuehl" w:hint="cs"/>
          <w:sz w:val="28"/>
          <w:szCs w:val="28"/>
          <w:rtl/>
        </w:rPr>
        <w:t xml:space="preserve">לכך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תיקי בית המשפט ומשטרת ישראל עדים. </w:t>
      </w: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למעשה, הצגת הדברים בצורה כ</w:t>
      </w:r>
      <w:r>
        <w:rPr>
          <w:rFonts w:ascii="FrankRuehl" w:hAnsi="FrankRuehl" w:cs="FrankRuehl" w:hint="cs"/>
          <w:sz w:val="28"/>
          <w:szCs w:val="28"/>
          <w:rtl/>
        </w:rPr>
        <w:t xml:space="preserve">גון דא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היא טיעון לא נכון באופיו.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 גם את הדיון היום ניסתה האם למנוע, בנימוק שיש להמתין לחוות דעת ד"ר וישנא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לגבי הסיבות הרפואיות בגינן חולה</w:t>
      </w:r>
      <w:r>
        <w:rPr>
          <w:rFonts w:ascii="FrankRuehl" w:hAnsi="FrankRuehl" w:cs="FrankRuehl" w:hint="cs"/>
          <w:sz w:val="28"/>
          <w:szCs w:val="28"/>
          <w:rtl/>
        </w:rPr>
        <w:t xml:space="preserve"> הילדה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, בנימוק שהאב </w:t>
      </w:r>
      <w:r>
        <w:rPr>
          <w:rFonts w:ascii="FrankRuehl" w:hAnsi="FrankRuehl" w:cs="FrankRuehl" w:hint="cs"/>
          <w:sz w:val="28"/>
          <w:szCs w:val="28"/>
          <w:rtl/>
        </w:rPr>
        <w:t>הוא ה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אחראי למחלותיה של הקטינה.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מי אחראי למחלות הקטינה? אין צירוף מקרים</w:t>
      </w:r>
      <w:r>
        <w:rPr>
          <w:rFonts w:ascii="FrankRuehl" w:hAnsi="FrankRuehl" w:cs="FrankRuehl" w:hint="cs"/>
          <w:sz w:val="28"/>
          <w:szCs w:val="28"/>
          <w:rtl/>
        </w:rPr>
        <w:t>.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האב או האם מטפח</w:t>
      </w:r>
      <w:r>
        <w:rPr>
          <w:rFonts w:ascii="FrankRuehl" w:hAnsi="FrankRuehl" w:cs="FrankRuehl" w:hint="cs"/>
          <w:sz w:val="28"/>
          <w:szCs w:val="28"/>
          <w:rtl/>
        </w:rPr>
        <w:t>ים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את החולי? אי</w:t>
      </w:r>
      <w:r>
        <w:rPr>
          <w:rFonts w:ascii="FrankRuehl" w:hAnsi="FrankRuehl" w:cs="FrankRuehl" w:hint="cs"/>
          <w:sz w:val="28"/>
          <w:szCs w:val="28"/>
          <w:rtl/>
        </w:rPr>
        <w:t>נני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יודע</w:t>
      </w:r>
      <w:r>
        <w:rPr>
          <w:rFonts w:ascii="FrankRuehl" w:hAnsi="FrankRuehl" w:cs="FrankRuehl" w:hint="cs"/>
          <w:sz w:val="28"/>
          <w:szCs w:val="28"/>
          <w:rtl/>
        </w:rPr>
        <w:t>.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הדברים יתבררו בסופו של יום, אך על רקע התנהגותה של האם עד היום מתעצם בליבי החשש שהצגתה של האם את הדברים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למעשה עלולה להיות הפוכה מן המציאות.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כך, בחודש</w:t>
      </w:r>
      <w:r>
        <w:rPr>
          <w:rFonts w:ascii="FrankRuehl" w:hAnsi="FrankRuehl" w:cs="FrankRuehl" w:hint="cs"/>
          <w:sz w:val="28"/>
          <w:szCs w:val="28"/>
          <w:rtl/>
        </w:rPr>
        <w:t xml:space="preserve">ים ינואר-פברואר 2023 </w:t>
      </w:r>
      <w:r w:rsidRPr="00C33E17">
        <w:rPr>
          <w:rFonts w:ascii="FrankRuehl" w:hAnsi="FrankRuehl" w:cs="FrankRuehl"/>
          <w:sz w:val="28"/>
          <w:szCs w:val="28"/>
          <w:rtl/>
        </w:rPr>
        <w:t>יצאה האם ובאה בין כותלי בית המשפט המחוזי כדי לפגוע בזמני השהות</w:t>
      </w:r>
      <w:r>
        <w:rPr>
          <w:rFonts w:ascii="FrankRuehl" w:hAnsi="FrankRuehl" w:cs="FrankRuehl" w:hint="cs"/>
          <w:sz w:val="28"/>
          <w:szCs w:val="28"/>
          <w:rtl/>
        </w:rPr>
        <w:t xml:space="preserve">, אך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לא נענתה.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אלא שסירובם של בתי המשפט לפעול כפי רצונה של האם לא הפריע ל</w:t>
      </w:r>
      <w:r>
        <w:rPr>
          <w:rFonts w:ascii="FrankRuehl" w:hAnsi="FrankRuehl" w:cs="FrankRuehl" w:hint="cs"/>
          <w:sz w:val="28"/>
          <w:szCs w:val="28"/>
          <w:rtl/>
        </w:rPr>
        <w:t xml:space="preserve">אם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גם בחודש מרץ 2023 לפגוע בזמני השהות </w:t>
      </w:r>
      <w:r>
        <w:rPr>
          <w:rFonts w:ascii="FrankRuehl" w:hAnsi="FrankRuehl" w:cs="FrankRuehl" w:hint="cs"/>
          <w:sz w:val="28"/>
          <w:szCs w:val="28"/>
          <w:rtl/>
        </w:rPr>
        <w:t>(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וראה החלטות כבוד השופטת </w:t>
      </w:r>
      <w:r>
        <w:rPr>
          <w:rFonts w:ascii="FrankRuehl" w:hAnsi="FrankRuehl" w:cs="FrankRuehl" w:hint="cs"/>
          <w:sz w:val="28"/>
          <w:szCs w:val="28"/>
          <w:rtl/>
        </w:rPr>
        <w:t>אילוטוביץ'-</w:t>
      </w:r>
      <w:r w:rsidRPr="00C33E17">
        <w:rPr>
          <w:rFonts w:ascii="FrankRuehl" w:hAnsi="FrankRuehl" w:cs="FrankRuehl"/>
          <w:sz w:val="28"/>
          <w:szCs w:val="28"/>
          <w:rtl/>
        </w:rPr>
        <w:t>סגל מיום 16.03.2023</w:t>
      </w:r>
      <w:r>
        <w:rPr>
          <w:rFonts w:ascii="FrankRuehl" w:hAnsi="FrankRuehl" w:cs="FrankRuehl" w:hint="cs"/>
          <w:sz w:val="28"/>
          <w:szCs w:val="28"/>
          <w:rtl/>
        </w:rPr>
        <w:t>;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החלטת כבוד השופט </w:t>
      </w:r>
      <w:r>
        <w:rPr>
          <w:rFonts w:ascii="FrankRuehl" w:hAnsi="FrankRuehl" w:cs="FrankRuehl" w:hint="cs"/>
          <w:sz w:val="28"/>
          <w:szCs w:val="28"/>
          <w:rtl/>
        </w:rPr>
        <w:t xml:space="preserve">י.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שקד מיום </w:t>
      </w:r>
      <w:r>
        <w:rPr>
          <w:rFonts w:ascii="FrankRuehl" w:hAnsi="FrankRuehl" w:cs="FrankRuehl" w:hint="cs"/>
          <w:sz w:val="28"/>
          <w:szCs w:val="28"/>
          <w:rtl/>
        </w:rPr>
        <w:t>09.04.2023)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. </w:t>
      </w:r>
    </w:p>
    <w:p w:rsidR="00B97160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lastRenderedPageBreak/>
        <w:t xml:space="preserve">האם התחמקה אפילו </w:t>
      </w:r>
      <w:r>
        <w:rPr>
          <w:rFonts w:ascii="FrankRuehl" w:hAnsi="FrankRuehl" w:cs="FrankRuehl" w:hint="cs"/>
          <w:sz w:val="28"/>
          <w:szCs w:val="28"/>
          <w:rtl/>
        </w:rPr>
        <w:t xml:space="preserve">מלהשיב </w:t>
      </w:r>
      <w:r w:rsidRPr="00C33E17">
        <w:rPr>
          <w:rFonts w:ascii="FrankRuehl" w:hAnsi="FrankRuehl" w:cs="FrankRuehl"/>
          <w:sz w:val="28"/>
          <w:szCs w:val="28"/>
          <w:rtl/>
        </w:rPr>
        <w:t>האם הופסקו זמני השהות על ידה אם לאו, ואולי כיוונה היא להלכה שאדם רשאי שלא להשיב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כדי שלא לסכן עצמו בהליך פלילי.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הגיעו דברים לידי כך שנמצא</w:t>
      </w:r>
      <w:r>
        <w:rPr>
          <w:rFonts w:ascii="FrankRuehl" w:hAnsi="FrankRuehl" w:cs="FrankRuehl" w:hint="cs"/>
          <w:sz w:val="28"/>
          <w:szCs w:val="28"/>
          <w:rtl/>
        </w:rPr>
        <w:t>ו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בתיקי הצדדים לפחות 3 החלטות שונות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המורות למשטרת ישראל לסייע לאב.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כאשר נאלץ בית המשפט להורות למשטרת ישראל לסייע לאב, קל לי לראות באם בבחינת מי שמתריס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ובעצם אין עליו מוראו של דין.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אם אומרת לי באת כוח האם כי אין ניכור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אין חשש לניכור וטוב אעשה אם אשיב את התיק למותב העיקרי, משתדלת </w:t>
      </w:r>
      <w:r>
        <w:rPr>
          <w:rFonts w:ascii="FrankRuehl" w:hAnsi="FrankRuehl" w:cs="FrankRuehl" w:hint="cs"/>
          <w:sz w:val="28"/>
          <w:szCs w:val="28"/>
          <w:rtl/>
        </w:rPr>
        <w:t xml:space="preserve">היא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לעשות </w:t>
      </w:r>
      <w:r>
        <w:rPr>
          <w:rFonts w:ascii="FrankRuehl" w:hAnsi="FrankRuehl" w:cs="FrankRuehl" w:hint="cs"/>
          <w:sz w:val="28"/>
          <w:szCs w:val="28"/>
          <w:rtl/>
        </w:rPr>
        <w:t xml:space="preserve">כל אשר לאל ידה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למען מרשתה. אלא שהדברים אינם עולים בקנה אחד עם המציאות, גם לא עם התנהלותה של האם.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כאשר משמשת האם בית עיקרי לקטינה והאב זוכה בזמני שהות רחבים, קיימת לגבי האם אחריות לוודא קשר טוב ומיטיב עם האב, גם אם אינה </w:t>
      </w:r>
      <w:r>
        <w:rPr>
          <w:rFonts w:ascii="FrankRuehl" w:hAnsi="FrankRuehl" w:cs="FrankRuehl" w:hint="cs"/>
          <w:sz w:val="28"/>
          <w:szCs w:val="28"/>
          <w:rtl/>
        </w:rPr>
        <w:t xml:space="preserve">מחבבת </w:t>
      </w:r>
      <w:r w:rsidRPr="00C33E17">
        <w:rPr>
          <w:rFonts w:ascii="FrankRuehl" w:hAnsi="FrankRuehl" w:cs="FrankRuehl"/>
          <w:sz w:val="28"/>
          <w:szCs w:val="28"/>
          <w:rtl/>
        </w:rPr>
        <w:t>אותו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או חרדה מטיפולו בקטינה.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דומני שהאם ניערה מעליה כל חבות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כאמור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והרי לך מאפיין </w:t>
      </w:r>
      <w:r>
        <w:rPr>
          <w:rFonts w:ascii="FrankRuehl" w:hAnsi="FrankRuehl" w:cs="FrankRuehl" w:hint="cs"/>
          <w:sz w:val="28"/>
          <w:szCs w:val="28"/>
          <w:rtl/>
        </w:rPr>
        <w:t xml:space="preserve">נוסף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של ניכור הורי.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למעשה</w:t>
      </w:r>
      <w:r>
        <w:rPr>
          <w:rFonts w:ascii="FrankRuehl" w:hAnsi="FrankRuehl" w:cs="FrankRuehl" w:hint="cs"/>
          <w:sz w:val="28"/>
          <w:szCs w:val="28"/>
          <w:rtl/>
        </w:rPr>
        <w:t xml:space="preserve"> ו</w:t>
      </w:r>
      <w:r w:rsidRPr="00C33E17">
        <w:rPr>
          <w:rFonts w:ascii="FrankRuehl" w:hAnsi="FrankRuehl" w:cs="FrankRuehl"/>
          <w:sz w:val="28"/>
          <w:szCs w:val="28"/>
          <w:rtl/>
        </w:rPr>
        <w:t>כפי שאומרת באת כוח האם היום, האב אינו מעוניין בבת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אלא ב</w:t>
      </w:r>
      <w:r>
        <w:rPr>
          <w:rFonts w:ascii="FrankRuehl" w:hAnsi="FrankRuehl" w:cs="FrankRuehl" w:hint="cs"/>
          <w:sz w:val="28"/>
          <w:szCs w:val="28"/>
          <w:rtl/>
        </w:rPr>
        <w:t>"</w:t>
      </w:r>
      <w:r w:rsidRPr="00C33E17">
        <w:rPr>
          <w:rFonts w:ascii="FrankRuehl" w:hAnsi="FrankRuehl" w:cs="FrankRuehl"/>
          <w:sz w:val="28"/>
          <w:szCs w:val="28"/>
          <w:rtl/>
        </w:rPr>
        <w:t>ד</w:t>
      </w:r>
      <w:r>
        <w:rPr>
          <w:rFonts w:ascii="FrankRuehl" w:hAnsi="FrankRuehl" w:cs="FrankRuehl" w:hint="cs"/>
          <w:sz w:val="28"/>
          <w:szCs w:val="28"/>
          <w:rtl/>
        </w:rPr>
        <w:t>ג</w:t>
      </w:r>
      <w:r w:rsidRPr="00C33E17">
        <w:rPr>
          <w:rFonts w:ascii="FrankRuehl" w:hAnsi="FrankRuehl" w:cs="FrankRuehl"/>
          <w:sz w:val="28"/>
          <w:szCs w:val="28"/>
          <w:rtl/>
        </w:rPr>
        <w:t>לי ניצחון</w:t>
      </w:r>
      <w:r>
        <w:rPr>
          <w:rFonts w:ascii="FrankRuehl" w:hAnsi="FrankRuehl" w:cs="FrankRuehl" w:hint="cs"/>
          <w:sz w:val="28"/>
          <w:szCs w:val="28"/>
          <w:rtl/>
        </w:rPr>
        <w:t>"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על האם.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כבר קבלתי </w:t>
      </w:r>
      <w:r>
        <w:rPr>
          <w:rFonts w:ascii="FrankRuehl" w:hAnsi="FrankRuehl" w:cs="FrankRuehl" w:hint="cs"/>
          <w:sz w:val="28"/>
          <w:szCs w:val="28"/>
          <w:rtl/>
        </w:rPr>
        <w:t xml:space="preserve">(מלשון קובלנה)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בעבר על זכותם של צדדים להסביר מה חושב הצד השני. </w:t>
      </w:r>
    </w:p>
    <w:p w:rsidR="00B97160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בינה לבינה החליטה האם שהאב אינו מעוניין ב</w:t>
      </w:r>
      <w:r>
        <w:rPr>
          <w:rFonts w:ascii="FrankRuehl" w:hAnsi="FrankRuehl" w:cs="FrankRuehl" w:hint="cs"/>
          <w:sz w:val="28"/>
          <w:szCs w:val="28"/>
          <w:rtl/>
        </w:rPr>
        <w:t>קטינה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, </w:t>
      </w:r>
      <w:r>
        <w:rPr>
          <w:rFonts w:ascii="FrankRuehl" w:hAnsi="FrankRuehl" w:cs="FrankRuehl" w:hint="cs"/>
          <w:sz w:val="28"/>
          <w:szCs w:val="28"/>
          <w:rtl/>
        </w:rPr>
        <w:t xml:space="preserve">אלא כי </w:t>
      </w:r>
      <w:r w:rsidRPr="00C33E17">
        <w:rPr>
          <w:rFonts w:ascii="FrankRuehl" w:hAnsi="FrankRuehl" w:cs="FrankRuehl"/>
          <w:sz w:val="28"/>
          <w:szCs w:val="28"/>
          <w:rtl/>
        </w:rPr>
        <w:t>הוא מעוניין</w:t>
      </w:r>
      <w:r>
        <w:rPr>
          <w:rFonts w:ascii="FrankRuehl" w:hAnsi="FrankRuehl" w:cs="FrankRuehl"/>
          <w:sz w:val="28"/>
          <w:szCs w:val="28"/>
          <w:rtl/>
        </w:rPr>
        <w:t xml:space="preserve"> בהמשך יחסיו איתה על דרך המאבק</w:t>
      </w:r>
      <w:r>
        <w:rPr>
          <w:rFonts w:ascii="FrankRuehl" w:hAnsi="FrankRuehl" w:cs="FrankRuehl" w:hint="cs"/>
          <w:sz w:val="28"/>
          <w:szCs w:val="28"/>
          <w:rtl/>
        </w:rPr>
        <w:t xml:space="preserve">, אך </w:t>
      </w:r>
      <w:r w:rsidRPr="00C33E17">
        <w:rPr>
          <w:rFonts w:ascii="FrankRuehl" w:hAnsi="FrankRuehl" w:cs="FrankRuehl"/>
          <w:sz w:val="28"/>
          <w:szCs w:val="28"/>
          <w:rtl/>
        </w:rPr>
        <w:t>נדמה לי שהדברים לא עולים ממש בקנה אחד עם המציאות</w:t>
      </w:r>
      <w:r>
        <w:rPr>
          <w:rFonts w:ascii="FrankRuehl" w:hAnsi="FrankRuehl" w:cs="FrankRuehl" w:hint="cs"/>
          <w:sz w:val="28"/>
          <w:szCs w:val="28"/>
          <w:rtl/>
        </w:rPr>
        <w:t xml:space="preserve">. </w:t>
      </w: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צריכה האם לכבד את זכותו של האב להיות הורה לבתו.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שוב ושוב טוענת האם לעניין בריאותה של הקטינה</w:t>
      </w:r>
      <w:r>
        <w:rPr>
          <w:rFonts w:ascii="FrankRuehl" w:hAnsi="FrankRuehl" w:cs="FrankRuehl" w:hint="cs"/>
          <w:sz w:val="28"/>
          <w:szCs w:val="28"/>
          <w:rtl/>
        </w:rPr>
        <w:t xml:space="preserve"> ביד אחת,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אלא שביד האחרת מונעת </w:t>
      </w:r>
      <w:r>
        <w:rPr>
          <w:rFonts w:ascii="FrankRuehl" w:hAnsi="FrankRuehl" w:cs="FrankRuehl" w:hint="cs"/>
          <w:sz w:val="28"/>
          <w:szCs w:val="28"/>
          <w:rtl/>
        </w:rPr>
        <w:t xml:space="preserve">היא </w:t>
      </w:r>
      <w:r w:rsidRPr="00C33E17">
        <w:rPr>
          <w:rFonts w:ascii="FrankRuehl" w:hAnsi="FrankRuehl" w:cs="FrankRuehl"/>
          <w:sz w:val="28"/>
          <w:szCs w:val="28"/>
          <w:rtl/>
        </w:rPr>
        <w:t>מידע רפואי מן האב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ולו כדי ש</w:t>
      </w:r>
      <w:r>
        <w:rPr>
          <w:rFonts w:ascii="FrankRuehl" w:hAnsi="FrankRuehl" w:cs="FrankRuehl" w:hint="cs"/>
          <w:sz w:val="28"/>
          <w:szCs w:val="28"/>
          <w:rtl/>
        </w:rPr>
        <w:t>י</w:t>
      </w:r>
      <w:r w:rsidRPr="00C33E17">
        <w:rPr>
          <w:rFonts w:ascii="FrankRuehl" w:hAnsi="FrankRuehl" w:cs="FrankRuehl"/>
          <w:sz w:val="28"/>
          <w:szCs w:val="28"/>
          <w:rtl/>
        </w:rPr>
        <w:t>וכח כי צודקת</w:t>
      </w:r>
      <w:r>
        <w:rPr>
          <w:rFonts w:ascii="FrankRuehl" w:hAnsi="FrankRuehl" w:cs="FrankRuehl" w:hint="cs"/>
          <w:sz w:val="28"/>
          <w:szCs w:val="28"/>
          <w:rtl/>
        </w:rPr>
        <w:t xml:space="preserve"> היא.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3B6592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3B6592">
        <w:rPr>
          <w:rFonts w:ascii="FrankRuehl" w:hAnsi="FrankRuehl" w:cs="FrankRuehl"/>
          <w:sz w:val="28"/>
          <w:szCs w:val="28"/>
          <w:rtl/>
        </w:rPr>
        <w:t>שאלתי את ב</w:t>
      </w:r>
      <w:r w:rsidRPr="003B6592">
        <w:rPr>
          <w:rFonts w:ascii="FrankRuehl" w:hAnsi="FrankRuehl" w:cs="FrankRuehl" w:hint="cs"/>
          <w:sz w:val="28"/>
          <w:szCs w:val="28"/>
          <w:rtl/>
        </w:rPr>
        <w:t xml:space="preserve">את כוח </w:t>
      </w:r>
      <w:r w:rsidRPr="003B6592">
        <w:rPr>
          <w:rFonts w:ascii="FrankRuehl" w:hAnsi="FrankRuehl" w:cs="FrankRuehl"/>
          <w:sz w:val="28"/>
          <w:szCs w:val="28"/>
          <w:rtl/>
        </w:rPr>
        <w:t>האב מה רצונ</w:t>
      </w:r>
      <w:r w:rsidRPr="003B6592">
        <w:rPr>
          <w:rFonts w:ascii="FrankRuehl" w:hAnsi="FrankRuehl" w:cs="FrankRuehl" w:hint="cs"/>
          <w:sz w:val="28"/>
          <w:szCs w:val="28"/>
          <w:rtl/>
        </w:rPr>
        <w:t>ה</w:t>
      </w:r>
      <w:r w:rsidRPr="003B6592">
        <w:rPr>
          <w:rFonts w:ascii="FrankRuehl" w:hAnsi="FrankRuehl" w:cs="FrankRuehl"/>
          <w:sz w:val="28"/>
          <w:szCs w:val="28"/>
          <w:rtl/>
        </w:rPr>
        <w:t xml:space="preserve"> לעשות בתום הדיון היום ונעניתי כי </w:t>
      </w:r>
      <w:r w:rsidRPr="003B6592">
        <w:rPr>
          <w:rFonts w:ascii="FrankRuehl" w:hAnsi="FrankRuehl" w:cs="FrankRuehl" w:hint="cs"/>
          <w:sz w:val="28"/>
          <w:szCs w:val="28"/>
          <w:rtl/>
        </w:rPr>
        <w:t xml:space="preserve">עלי לעשות כך שהקטינה </w:t>
      </w:r>
      <w:r w:rsidRPr="003B6592">
        <w:rPr>
          <w:rFonts w:ascii="FrankRuehl" w:hAnsi="FrankRuehl" w:cs="FrankRuehl"/>
          <w:sz w:val="28"/>
          <w:szCs w:val="28"/>
          <w:rtl/>
        </w:rPr>
        <w:t>תהא אצל האב ו</w:t>
      </w:r>
      <w:r w:rsidRPr="003B6592">
        <w:rPr>
          <w:rFonts w:ascii="FrankRuehl" w:hAnsi="FrankRuehl" w:cs="FrankRuehl" w:hint="cs"/>
          <w:sz w:val="28"/>
          <w:szCs w:val="28"/>
          <w:rtl/>
        </w:rPr>
        <w:t xml:space="preserve">כי </w:t>
      </w:r>
      <w:r w:rsidRPr="003B6592">
        <w:rPr>
          <w:rFonts w:ascii="FrankRuehl" w:hAnsi="FrankRuehl" w:cs="FrankRuehl"/>
          <w:sz w:val="28"/>
          <w:szCs w:val="28"/>
          <w:rtl/>
        </w:rPr>
        <w:t>האם תקבל זמני שהות נרחבים. האפוטרופא לדין לקטינה לא כך המליצה לעת הזו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3B6592">
        <w:rPr>
          <w:rFonts w:ascii="FrankRuehl" w:hAnsi="FrankRuehl" w:cs="FrankRuehl"/>
          <w:sz w:val="28"/>
          <w:szCs w:val="28"/>
          <w:rtl/>
        </w:rPr>
        <w:t xml:space="preserve"> וסבורני </w:t>
      </w:r>
      <w:r>
        <w:rPr>
          <w:rFonts w:ascii="FrankRuehl" w:hAnsi="FrankRuehl" w:cs="FrankRuehl" w:hint="cs"/>
          <w:sz w:val="28"/>
          <w:szCs w:val="28"/>
          <w:rtl/>
        </w:rPr>
        <w:t xml:space="preserve">אף אני כי </w:t>
      </w:r>
      <w:r w:rsidRPr="003B6592">
        <w:rPr>
          <w:rFonts w:ascii="FrankRuehl" w:hAnsi="FrankRuehl" w:cs="FrankRuehl"/>
          <w:sz w:val="28"/>
          <w:szCs w:val="28"/>
          <w:rtl/>
        </w:rPr>
        <w:t>מוקדם מדי</w:t>
      </w:r>
      <w:r>
        <w:rPr>
          <w:rFonts w:ascii="FrankRuehl" w:hAnsi="FrankRuehl" w:cs="FrankRuehl" w:hint="cs"/>
          <w:sz w:val="28"/>
          <w:szCs w:val="28"/>
          <w:rtl/>
        </w:rPr>
        <w:t xml:space="preserve"> לכך</w:t>
      </w:r>
      <w:r w:rsidRPr="003B6592">
        <w:rPr>
          <w:rFonts w:ascii="FrankRuehl" w:hAnsi="FrankRuehl" w:cs="FrankRuehl"/>
          <w:sz w:val="28"/>
          <w:szCs w:val="28"/>
          <w:rtl/>
        </w:rPr>
        <w:t xml:space="preserve">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>
        <w:rPr>
          <w:rFonts w:ascii="FrankRuehl" w:hAnsi="FrankRuehl" w:cs="FrankRuehl" w:hint="cs"/>
          <w:sz w:val="28"/>
          <w:szCs w:val="28"/>
          <w:rtl/>
        </w:rPr>
        <w:lastRenderedPageBreak/>
        <w:t>ה</w:t>
      </w:r>
      <w:r w:rsidRPr="00C33E17">
        <w:rPr>
          <w:rFonts w:ascii="FrankRuehl" w:hAnsi="FrankRuehl" w:cs="FrankRuehl"/>
          <w:sz w:val="28"/>
          <w:szCs w:val="28"/>
          <w:rtl/>
        </w:rPr>
        <w:t>המלצה לברר את מצבה הרפואי של הקטינה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עליה המליצה גם ד"ר וישנא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ותוצאות אותה המלצה היא בעצם בשורש הדברים.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</w:rPr>
      </w:pPr>
      <w:r w:rsidRPr="00C33E17">
        <w:rPr>
          <w:rFonts w:ascii="FrankRuehl" w:hAnsi="FrankRuehl" w:cs="FrankRuehl"/>
          <w:sz w:val="28"/>
          <w:szCs w:val="28"/>
          <w:rtl/>
        </w:rPr>
        <w:t>בשעתו קבע בית המשפט המחוזי כי לרוב ההורים הסבירים אין בצע וצורך בקביעת משמורת</w:t>
      </w:r>
      <w:r>
        <w:rPr>
          <w:rFonts w:ascii="FrankRuehl" w:hAnsi="FrankRuehl" w:cs="FrankRuehl" w:hint="cs"/>
          <w:sz w:val="28"/>
          <w:szCs w:val="28"/>
          <w:rtl/>
        </w:rPr>
        <w:t xml:space="preserve">, זאת כי </w:t>
      </w:r>
      <w:r w:rsidRPr="00C33E17">
        <w:rPr>
          <w:rFonts w:ascii="FrankRuehl" w:hAnsi="FrankRuehl" w:cs="FrankRuehl"/>
          <w:sz w:val="28"/>
          <w:szCs w:val="28"/>
          <w:rtl/>
        </w:rPr>
        <w:t>הורים היו והורים יישארו הם</w:t>
      </w:r>
      <w:r>
        <w:rPr>
          <w:rFonts w:ascii="FrankRuehl" w:hAnsi="FrankRuehl" w:cs="FrankRuehl" w:hint="cs"/>
          <w:sz w:val="28"/>
          <w:szCs w:val="28"/>
          <w:rtl/>
        </w:rPr>
        <w:t xml:space="preserve"> וכי </w:t>
      </w:r>
      <w:r w:rsidRPr="00C33E17">
        <w:rPr>
          <w:rFonts w:ascii="FrankRuehl" w:hAnsi="FrankRuehl" w:cs="FrankRuehl"/>
          <w:sz w:val="28"/>
          <w:szCs w:val="28"/>
          <w:rtl/>
        </w:rPr>
        <w:t>די בקביעת זמני שהות</w:t>
      </w:r>
      <w:r>
        <w:rPr>
          <w:rFonts w:ascii="FrankRuehl" w:hAnsi="FrankRuehl" w:cs="FrankRuehl" w:hint="cs"/>
          <w:sz w:val="28"/>
          <w:szCs w:val="28"/>
          <w:rtl/>
        </w:rPr>
        <w:t xml:space="preserve"> </w:t>
      </w:r>
      <w:r w:rsidRPr="00C33E17">
        <w:rPr>
          <w:rFonts w:ascii="FrankRuehl" w:hAnsi="FrankRuehl" w:cs="FrankRuehl"/>
          <w:sz w:val="28"/>
          <w:szCs w:val="28"/>
          <w:rtl/>
        </w:rPr>
        <w:t>אם אלה לא מוסכמים</w:t>
      </w:r>
      <w:r>
        <w:rPr>
          <w:rFonts w:ascii="FrankRuehl" w:hAnsi="FrankRuehl" w:cs="FrankRuehl" w:hint="cs"/>
          <w:sz w:val="28"/>
          <w:szCs w:val="28"/>
          <w:rtl/>
        </w:rPr>
        <w:t xml:space="preserve">. </w:t>
      </w: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לא זה המקרה שלפניי</w:t>
      </w:r>
      <w:r>
        <w:rPr>
          <w:rFonts w:ascii="FrankRuehl" w:hAnsi="FrankRuehl" w:cs="FrankRuehl" w:hint="cs"/>
          <w:sz w:val="28"/>
          <w:szCs w:val="28"/>
          <w:rtl/>
        </w:rPr>
        <w:t>, ו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מצוי אני באותו תחום בו נדיר יותר שיש צורך בקביעת משמורת.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3B6592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b/>
          <w:bCs/>
          <w:sz w:val="28"/>
          <w:szCs w:val="28"/>
          <w:rtl/>
        </w:rPr>
      </w:pPr>
      <w:r w:rsidRPr="003B6592">
        <w:rPr>
          <w:rFonts w:ascii="FrankRuehl" w:hAnsi="FrankRuehl" w:cs="FrankRuehl"/>
          <w:b/>
          <w:bCs/>
          <w:sz w:val="28"/>
          <w:szCs w:val="28"/>
          <w:rtl/>
        </w:rPr>
        <w:t>אין אני יודע</w:t>
      </w:r>
      <w:r w:rsidRPr="003B6592">
        <w:rPr>
          <w:rFonts w:ascii="FrankRuehl" w:hAnsi="FrankRuehl" w:cs="FrankRuehl" w:hint="cs"/>
          <w:b/>
          <w:bCs/>
          <w:sz w:val="28"/>
          <w:szCs w:val="28"/>
          <w:rtl/>
        </w:rPr>
        <w:t>,</w:t>
      </w:r>
      <w:r w:rsidRPr="003B6592">
        <w:rPr>
          <w:rFonts w:ascii="FrankRuehl" w:hAnsi="FrankRuehl" w:cs="FrankRuehl"/>
          <w:b/>
          <w:bCs/>
          <w:sz w:val="28"/>
          <w:szCs w:val="28"/>
          <w:rtl/>
        </w:rPr>
        <w:t xml:space="preserve"> בראי התנהלותה של האם</w:t>
      </w:r>
      <w:r w:rsidRPr="003B6592">
        <w:rPr>
          <w:rFonts w:ascii="FrankRuehl" w:hAnsi="FrankRuehl" w:cs="FrankRuehl" w:hint="cs"/>
          <w:b/>
          <w:bCs/>
          <w:sz w:val="28"/>
          <w:szCs w:val="28"/>
          <w:rtl/>
        </w:rPr>
        <w:t xml:space="preserve"> ו</w:t>
      </w:r>
      <w:r w:rsidRPr="003B6592">
        <w:rPr>
          <w:rFonts w:ascii="FrankRuehl" w:hAnsi="FrankRuehl" w:cs="FrankRuehl"/>
          <w:b/>
          <w:bCs/>
          <w:sz w:val="28"/>
          <w:szCs w:val="28"/>
          <w:rtl/>
        </w:rPr>
        <w:t xml:space="preserve">למרות חזקת הגיל הרך, האם בסופו של יום תימצא היא משמורנית.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אמרתי כבר בשעתו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</w:t>
      </w:r>
      <w:r>
        <w:rPr>
          <w:rFonts w:ascii="FrankRuehl" w:hAnsi="FrankRuehl" w:cs="FrankRuehl" w:hint="cs"/>
          <w:sz w:val="28"/>
          <w:szCs w:val="28"/>
          <w:rtl/>
        </w:rPr>
        <w:t xml:space="preserve">כי 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הורה מנכר אינו יכול לקבל משמורת. </w:t>
      </w:r>
      <w:r>
        <w:rPr>
          <w:rFonts w:ascii="FrankRuehl" w:hAnsi="FrankRuehl" w:cs="FrankRuehl" w:hint="cs"/>
          <w:sz w:val="28"/>
          <w:szCs w:val="28"/>
          <w:rtl/>
        </w:rPr>
        <w:t>הורה מנכר ח</w:t>
      </w:r>
      <w:r w:rsidRPr="00C33E17">
        <w:rPr>
          <w:rFonts w:ascii="FrankRuehl" w:hAnsi="FrankRuehl" w:cs="FrankRuehl"/>
          <w:sz w:val="28"/>
          <w:szCs w:val="28"/>
          <w:rtl/>
        </w:rPr>
        <w:t>וטא לחוב</w:t>
      </w:r>
      <w:r>
        <w:rPr>
          <w:rFonts w:ascii="FrankRuehl" w:hAnsi="FrankRuehl" w:cs="FrankRuehl" w:hint="cs"/>
          <w:sz w:val="28"/>
          <w:szCs w:val="28"/>
          <w:rtl/>
        </w:rPr>
        <w:t>תו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עיקרית לשמר קשר עם ההורה האחר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בלא צידוק.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</w:rPr>
      </w:pPr>
      <w:r w:rsidRPr="00C33E17">
        <w:rPr>
          <w:rFonts w:ascii="FrankRuehl" w:hAnsi="FrankRuehl" w:cs="FrankRuehl"/>
          <w:sz w:val="28"/>
          <w:szCs w:val="28"/>
          <w:rtl/>
        </w:rPr>
        <w:t>אינ</w:t>
      </w:r>
      <w:r>
        <w:rPr>
          <w:rFonts w:ascii="FrankRuehl" w:hAnsi="FrankRuehl" w:cs="FrankRuehl" w:hint="cs"/>
          <w:sz w:val="28"/>
          <w:szCs w:val="28"/>
          <w:rtl/>
        </w:rPr>
        <w:t>נ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י רוצה להיחפז, אך </w:t>
      </w:r>
      <w:r w:rsidRPr="00986742">
        <w:rPr>
          <w:rFonts w:ascii="FrankRuehl" w:hAnsi="FrankRuehl" w:cs="FrankRuehl"/>
          <w:b/>
          <w:bCs/>
          <w:sz w:val="28"/>
          <w:szCs w:val="28"/>
          <w:rtl/>
        </w:rPr>
        <w:t>לעת הזו ניתן צו הקובע כי משמורת הקטינה היא בידי שני ההורים בבחינת משמורת משותפת</w:t>
      </w:r>
      <w:r w:rsidRPr="00986742">
        <w:rPr>
          <w:rFonts w:ascii="FrankRuehl" w:hAnsi="FrankRuehl" w:cs="FrankRuehl" w:hint="cs"/>
          <w:b/>
          <w:bCs/>
          <w:sz w:val="28"/>
          <w:szCs w:val="28"/>
          <w:rtl/>
        </w:rPr>
        <w:t>,</w:t>
      </w:r>
      <w:r w:rsidRPr="00986742">
        <w:rPr>
          <w:rFonts w:ascii="FrankRuehl" w:hAnsi="FrankRuehl" w:cs="FrankRuehl"/>
          <w:b/>
          <w:bCs/>
          <w:sz w:val="28"/>
          <w:szCs w:val="28"/>
          <w:rtl/>
        </w:rPr>
        <w:t xml:space="preserve"> המאפשרת לאב גישה במישרין לגורמי רפואה, חינוך וכו'</w:t>
      </w:r>
      <w:r w:rsidRPr="00986742">
        <w:rPr>
          <w:rFonts w:ascii="FrankRuehl" w:hAnsi="FrankRuehl" w:cs="FrankRuehl" w:hint="cs"/>
          <w:b/>
          <w:bCs/>
          <w:sz w:val="28"/>
          <w:szCs w:val="28"/>
          <w:rtl/>
        </w:rPr>
        <w:t xml:space="preserve"> ול</w:t>
      </w:r>
      <w:r w:rsidRPr="00986742">
        <w:rPr>
          <w:rFonts w:ascii="FrankRuehl" w:hAnsi="FrankRuehl" w:cs="FrankRuehl"/>
          <w:b/>
          <w:bCs/>
          <w:sz w:val="28"/>
          <w:szCs w:val="28"/>
          <w:rtl/>
        </w:rPr>
        <w:t xml:space="preserve">לא צורך ב"טובות" מצד האם, בבחינת משמורת משותפת </w:t>
      </w:r>
      <w:r w:rsidRPr="00986742">
        <w:rPr>
          <w:rFonts w:ascii="FrankRuehl" w:hAnsi="FrankRuehl" w:cs="FrankRuehl" w:hint="cs"/>
          <w:b/>
          <w:bCs/>
          <w:sz w:val="28"/>
          <w:szCs w:val="28"/>
          <w:rtl/>
        </w:rPr>
        <w:t>א</w:t>
      </w:r>
      <w:r w:rsidRPr="00986742">
        <w:rPr>
          <w:rFonts w:ascii="FrankRuehl" w:hAnsi="FrankRuehl" w:cs="FrankRuehl"/>
          <w:b/>
          <w:bCs/>
          <w:sz w:val="28"/>
          <w:szCs w:val="28"/>
          <w:rtl/>
        </w:rPr>
        <w:t>ש</w:t>
      </w:r>
      <w:r w:rsidRPr="00986742">
        <w:rPr>
          <w:rFonts w:ascii="FrankRuehl" w:hAnsi="FrankRuehl" w:cs="FrankRuehl" w:hint="cs"/>
          <w:b/>
          <w:bCs/>
          <w:sz w:val="28"/>
          <w:szCs w:val="28"/>
          <w:rtl/>
        </w:rPr>
        <w:t xml:space="preserve">ר </w:t>
      </w:r>
      <w:r w:rsidRPr="00986742">
        <w:rPr>
          <w:rFonts w:ascii="FrankRuehl" w:hAnsi="FrankRuehl" w:cs="FrankRuehl"/>
          <w:b/>
          <w:bCs/>
          <w:sz w:val="28"/>
          <w:szCs w:val="28"/>
          <w:rtl/>
        </w:rPr>
        <w:t>נועדה למנוע הכחדת מעמדו של האב כהורה</w:t>
      </w:r>
      <w:r w:rsidRPr="00986742">
        <w:rPr>
          <w:rFonts w:ascii="FrankRuehl" w:hAnsi="FrankRuehl" w:cs="FrankRuehl" w:hint="cs"/>
          <w:b/>
          <w:bCs/>
          <w:sz w:val="28"/>
          <w:szCs w:val="28"/>
          <w:rtl/>
        </w:rPr>
        <w:t>.</w:t>
      </w:r>
      <w:r w:rsidRPr="00986742">
        <w:rPr>
          <w:rFonts w:ascii="FrankRuehl" w:hAnsi="FrankRuehl" w:cs="FrankRuehl"/>
          <w:b/>
          <w:bCs/>
          <w:sz w:val="28"/>
          <w:szCs w:val="28"/>
          <w:rtl/>
        </w:rPr>
        <w:t xml:space="preserve"> </w:t>
      </w: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לא שמצפה אני לשיתוף פעולה נוסף בין ההורים</w:t>
      </w:r>
      <w:r>
        <w:rPr>
          <w:rFonts w:ascii="FrankRuehl" w:hAnsi="FrankRuehl" w:cs="FrankRuehl" w:hint="cs"/>
          <w:sz w:val="28"/>
          <w:szCs w:val="28"/>
          <w:rtl/>
        </w:rPr>
        <w:t xml:space="preserve">, אך </w:t>
      </w:r>
      <w:r w:rsidRPr="00C33E17">
        <w:rPr>
          <w:rFonts w:ascii="FrankRuehl" w:hAnsi="FrankRuehl" w:cs="FrankRuehl"/>
          <w:sz w:val="28"/>
          <w:szCs w:val="28"/>
          <w:rtl/>
        </w:rPr>
        <w:t>תדע האם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כי אינה בעלים בלעדי בקטינה.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אין בדעתי לעת הזו להתערב בזמני השהות. </w:t>
      </w:r>
    </w:p>
    <w:p w:rsidR="00B97160" w:rsidRPr="00986742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b/>
          <w:bCs/>
          <w:sz w:val="28"/>
          <w:szCs w:val="28"/>
          <w:rtl/>
        </w:rPr>
      </w:pPr>
      <w:r w:rsidRPr="00986742">
        <w:rPr>
          <w:rFonts w:ascii="FrankRuehl" w:hAnsi="FrankRuehl" w:cs="FrankRuehl"/>
          <w:b/>
          <w:bCs/>
          <w:sz w:val="28"/>
          <w:szCs w:val="28"/>
          <w:rtl/>
        </w:rPr>
        <w:t xml:space="preserve">סבור אני </w:t>
      </w:r>
      <w:r w:rsidRPr="00986742">
        <w:rPr>
          <w:rFonts w:ascii="FrankRuehl" w:hAnsi="FrankRuehl" w:cs="FrankRuehl" w:hint="cs"/>
          <w:b/>
          <w:bCs/>
          <w:sz w:val="28"/>
          <w:szCs w:val="28"/>
          <w:rtl/>
        </w:rPr>
        <w:t xml:space="preserve">כי </w:t>
      </w:r>
      <w:r w:rsidRPr="00986742">
        <w:rPr>
          <w:rFonts w:ascii="FrankRuehl" w:hAnsi="FrankRuehl" w:cs="FrankRuehl"/>
          <w:b/>
          <w:bCs/>
          <w:sz w:val="28"/>
          <w:szCs w:val="28"/>
          <w:rtl/>
        </w:rPr>
        <w:t xml:space="preserve">בסופו של יום, לכשתתברר התנהגות כל אחד מיחידי ההורים, יכול גם יכול וזמני השהות ישתנו מן הקצה אל הקצה, ודי לחכימא.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</w:rPr>
      </w:pPr>
      <w:r w:rsidRPr="00C33E17">
        <w:rPr>
          <w:rFonts w:ascii="FrankRuehl" w:hAnsi="FrankRuehl" w:cs="FrankRuehl"/>
          <w:sz w:val="28"/>
          <w:szCs w:val="28"/>
          <w:rtl/>
        </w:rPr>
        <w:t>מבקש אני להזכיר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כי "ארגז הכלים" </w:t>
      </w:r>
      <w:r>
        <w:rPr>
          <w:rFonts w:ascii="FrankRuehl" w:hAnsi="FrankRuehl" w:cs="FrankRuehl" w:hint="cs"/>
          <w:sz w:val="28"/>
          <w:szCs w:val="28"/>
          <w:rtl/>
        </w:rPr>
        <w:t>א</w:t>
      </w:r>
      <w:r w:rsidRPr="00C33E17">
        <w:rPr>
          <w:rFonts w:ascii="FrankRuehl" w:hAnsi="FrankRuehl" w:cs="FrankRuehl"/>
          <w:sz w:val="28"/>
          <w:szCs w:val="28"/>
          <w:rtl/>
        </w:rPr>
        <w:t>ש</w:t>
      </w:r>
      <w:r>
        <w:rPr>
          <w:rFonts w:ascii="FrankRuehl" w:hAnsi="FrankRuehl" w:cs="FrankRuehl" w:hint="cs"/>
          <w:sz w:val="28"/>
          <w:szCs w:val="28"/>
          <w:rtl/>
        </w:rPr>
        <w:t xml:space="preserve">ר </w:t>
      </w:r>
      <w:r w:rsidRPr="00C33E17">
        <w:rPr>
          <w:rFonts w:ascii="FrankRuehl" w:hAnsi="FrankRuehl" w:cs="FrankRuehl"/>
          <w:sz w:val="28"/>
          <w:szCs w:val="28"/>
          <w:rtl/>
        </w:rPr>
        <w:t>בידי בית המשפט הוא מדרגי – תחילה בוחרים אנו להזהיר את הצדדים כי עליהם למלא א</w:t>
      </w:r>
      <w:r>
        <w:rPr>
          <w:rFonts w:ascii="FrankRuehl" w:hAnsi="FrankRuehl" w:cs="FrankRuehl" w:hint="cs"/>
          <w:sz w:val="28"/>
          <w:szCs w:val="28"/>
          <w:rtl/>
        </w:rPr>
        <w:t xml:space="preserve">חר </w:t>
      </w:r>
      <w:r w:rsidRPr="00C33E17">
        <w:rPr>
          <w:rFonts w:ascii="FrankRuehl" w:hAnsi="FrankRuehl" w:cs="FrankRuehl"/>
          <w:sz w:val="28"/>
          <w:szCs w:val="28"/>
          <w:rtl/>
        </w:rPr>
        <w:t>הוראות החוק, לדבוק בזמני השהות שנקבעו</w:t>
      </w:r>
      <w:r>
        <w:rPr>
          <w:rFonts w:ascii="FrankRuehl" w:hAnsi="FrankRuehl" w:cs="FrankRuehl" w:hint="cs"/>
          <w:sz w:val="28"/>
          <w:szCs w:val="28"/>
          <w:rtl/>
        </w:rPr>
        <w:t xml:space="preserve"> ו</w:t>
      </w:r>
      <w:r w:rsidRPr="00C33E17">
        <w:rPr>
          <w:rFonts w:ascii="FrankRuehl" w:hAnsi="FrankRuehl" w:cs="FrankRuehl"/>
          <w:sz w:val="28"/>
          <w:szCs w:val="28"/>
          <w:rtl/>
        </w:rPr>
        <w:t>שאם לא כן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יינקטו כנגדם סנקציות. דומני שאת האזהרה הדרושה כבר קיבלה האם שוב ושוב בעבר.</w:t>
      </w:r>
    </w:p>
    <w:p w:rsidR="00B97160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</w:p>
    <w:p w:rsidR="00B97160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המדרג הבא קובע סנקציות במקרה של הפרה. </w:t>
      </w:r>
    </w:p>
    <w:p w:rsidR="00B97160" w:rsidRPr="00C33E17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  <w:rtl/>
        </w:rPr>
      </w:pPr>
      <w:r w:rsidRPr="00C33E17">
        <w:rPr>
          <w:rFonts w:ascii="FrankRuehl" w:hAnsi="FrankRuehl" w:cs="FrankRuehl"/>
          <w:sz w:val="28"/>
          <w:szCs w:val="28"/>
          <w:rtl/>
        </w:rPr>
        <w:t>סנקציות אלה יכולות להיות כספיות, הן יכולות להיות גם ובין השאר אותן סנקציות השמורות בחוק ההוצאה לפועל</w:t>
      </w:r>
      <w:r>
        <w:rPr>
          <w:rFonts w:ascii="FrankRuehl" w:hAnsi="FrankRuehl" w:cs="FrankRuehl" w:hint="cs"/>
          <w:sz w:val="28"/>
          <w:szCs w:val="28"/>
          <w:rtl/>
        </w:rPr>
        <w:t>,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לצורך כפיית ביצוע. במילים אחרות: יכול אדם למצוא את רישיון הנהיגה שלו מוקפא, למצוא את חשבון הבנק שלו נתון למגבלות ועוד.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Pr="00986742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b/>
          <w:bCs/>
          <w:sz w:val="32"/>
          <w:szCs w:val="32"/>
        </w:rPr>
      </w:pPr>
      <w:r w:rsidRPr="00986742">
        <w:rPr>
          <w:rFonts w:ascii="FrankRuehl" w:hAnsi="FrankRuehl" w:cs="FrankRuehl"/>
          <w:b/>
          <w:bCs/>
          <w:sz w:val="32"/>
          <w:szCs w:val="32"/>
          <w:rtl/>
        </w:rPr>
        <w:lastRenderedPageBreak/>
        <w:t xml:space="preserve">יופרו זמני השהות </w:t>
      </w:r>
      <w:r w:rsidRPr="00986742">
        <w:rPr>
          <w:rFonts w:ascii="FrankRuehl" w:hAnsi="FrankRuehl" w:cs="FrankRuehl" w:hint="cs"/>
          <w:b/>
          <w:bCs/>
          <w:sz w:val="32"/>
          <w:szCs w:val="32"/>
          <w:rtl/>
        </w:rPr>
        <w:t>ול</w:t>
      </w:r>
      <w:r w:rsidRPr="00986742">
        <w:rPr>
          <w:rFonts w:ascii="FrankRuehl" w:hAnsi="FrankRuehl" w:cs="FrankRuehl"/>
          <w:b/>
          <w:bCs/>
          <w:sz w:val="32"/>
          <w:szCs w:val="32"/>
          <w:rtl/>
        </w:rPr>
        <w:t>לא החלטה שיפוטית מפורשת, תישא האם בסנקציה כספית בגובה 3,000 ₪ לכל ביקור שלא יתקיים במועדו</w:t>
      </w:r>
      <w:r w:rsidRPr="00986742">
        <w:rPr>
          <w:rFonts w:ascii="FrankRuehl" w:hAnsi="FrankRuehl" w:cs="FrankRuehl" w:hint="cs"/>
          <w:b/>
          <w:bCs/>
          <w:sz w:val="32"/>
          <w:szCs w:val="32"/>
          <w:rtl/>
        </w:rPr>
        <w:t>.</w:t>
      </w:r>
      <w:r w:rsidRPr="00986742">
        <w:rPr>
          <w:rFonts w:ascii="FrankRuehl" w:hAnsi="FrankRuehl" w:cs="FrankRuehl"/>
          <w:b/>
          <w:bCs/>
          <w:sz w:val="32"/>
          <w:szCs w:val="32"/>
          <w:rtl/>
        </w:rPr>
        <w:t xml:space="preserve"> </w:t>
      </w:r>
    </w:p>
    <w:p w:rsidR="00B97160" w:rsidRPr="00986742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b/>
          <w:bCs/>
          <w:sz w:val="32"/>
          <w:szCs w:val="32"/>
          <w:rtl/>
        </w:rPr>
      </w:pPr>
      <w:r w:rsidRPr="00986742">
        <w:rPr>
          <w:rFonts w:ascii="FrankRuehl" w:hAnsi="FrankRuehl" w:cs="FrankRuehl"/>
          <w:b/>
          <w:bCs/>
          <w:sz w:val="32"/>
          <w:szCs w:val="32"/>
          <w:rtl/>
        </w:rPr>
        <w:t xml:space="preserve">אם יצטברו להם 3 ביקורים </w:t>
      </w:r>
      <w:r w:rsidRPr="00986742">
        <w:rPr>
          <w:rFonts w:ascii="FrankRuehl" w:hAnsi="FrankRuehl" w:cs="FrankRuehl" w:hint="cs"/>
          <w:b/>
          <w:bCs/>
          <w:sz w:val="32"/>
          <w:szCs w:val="32"/>
          <w:rtl/>
        </w:rPr>
        <w:t xml:space="preserve">שלא יתקיימו במועדם </w:t>
      </w:r>
      <w:r w:rsidRPr="00986742">
        <w:rPr>
          <w:rFonts w:ascii="FrankRuehl" w:hAnsi="FrankRuehl" w:cs="FrankRuehl"/>
          <w:b/>
          <w:bCs/>
          <w:sz w:val="32"/>
          <w:szCs w:val="32"/>
          <w:rtl/>
        </w:rPr>
        <w:t>– יופקד רישיון הנהיגה של האם למשך 30 יום</w:t>
      </w:r>
      <w:r w:rsidRPr="00986742">
        <w:rPr>
          <w:rFonts w:ascii="FrankRuehl" w:hAnsi="FrankRuehl" w:cs="FrankRuehl" w:hint="cs"/>
          <w:b/>
          <w:bCs/>
          <w:sz w:val="32"/>
          <w:szCs w:val="32"/>
          <w:rtl/>
        </w:rPr>
        <w:t xml:space="preserve">, זאת </w:t>
      </w:r>
      <w:r w:rsidRPr="00986742">
        <w:rPr>
          <w:rFonts w:ascii="FrankRuehl" w:hAnsi="FrankRuehl" w:cs="FrankRuehl"/>
          <w:b/>
          <w:bCs/>
          <w:sz w:val="32"/>
          <w:szCs w:val="32"/>
          <w:rtl/>
        </w:rPr>
        <w:t xml:space="preserve">מן ההפרה השלישית. </w:t>
      </w: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</w:rPr>
      </w:pPr>
      <w:r w:rsidRPr="00986742">
        <w:rPr>
          <w:rFonts w:ascii="FrankRuehl" w:hAnsi="FrankRuehl" w:cs="FrankRuehl"/>
          <w:b/>
          <w:bCs/>
          <w:sz w:val="28"/>
          <w:szCs w:val="28"/>
          <w:u w:val="single"/>
          <w:rtl/>
        </w:rPr>
        <w:t>המזכירות</w:t>
      </w:r>
      <w:r w:rsidRPr="00C33E17">
        <w:rPr>
          <w:rFonts w:ascii="FrankRuehl" w:hAnsi="FrankRuehl" w:cs="FrankRuehl"/>
          <w:sz w:val="28"/>
          <w:szCs w:val="28"/>
          <w:rtl/>
        </w:rPr>
        <w:t xml:space="preserve"> תקבע מועד מעקב לעוד 60 ימים מהיום. </w:t>
      </w:r>
    </w:p>
    <w:p w:rsidR="00B97160" w:rsidRDefault="00B97160" w:rsidP="00B97160">
      <w:p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</w:p>
    <w:p w:rsidR="00B97160" w:rsidRPr="00986742" w:rsidRDefault="00B97160" w:rsidP="00B97160">
      <w:p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</w:p>
    <w:p w:rsidR="00B97160" w:rsidRPr="00C33E17" w:rsidRDefault="00B97160" w:rsidP="00B97160">
      <w:pPr>
        <w:pStyle w:val="a9"/>
        <w:rPr>
          <w:rFonts w:ascii="FrankRuehl" w:hAnsi="FrankRuehl" w:cs="FrankRuehl"/>
          <w:sz w:val="28"/>
          <w:szCs w:val="28"/>
        </w:rPr>
      </w:pPr>
    </w:p>
    <w:p w:rsidR="00B97160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</w:rPr>
      </w:pPr>
      <w:r w:rsidRPr="00C33E17">
        <w:rPr>
          <w:rFonts w:ascii="FrankRuehl" w:hAnsi="FrankRuehl" w:cs="FrankRuehl"/>
          <w:sz w:val="28"/>
          <w:szCs w:val="28"/>
          <w:rtl/>
        </w:rPr>
        <w:t xml:space="preserve">האם תישא בהוצאות הדיון היום בסך 5,000 ₪. </w:t>
      </w:r>
    </w:p>
    <w:p w:rsidR="00B97160" w:rsidRPr="00986742" w:rsidRDefault="00B97160" w:rsidP="00B97160">
      <w:pPr>
        <w:pStyle w:val="a9"/>
        <w:spacing w:line="360" w:lineRule="auto"/>
        <w:ind w:left="360"/>
        <w:jc w:val="both"/>
        <w:rPr>
          <w:rFonts w:ascii="FrankRuehl" w:hAnsi="FrankRuehl" w:cs="FrankRuehl"/>
          <w:sz w:val="28"/>
          <w:szCs w:val="28"/>
        </w:rPr>
      </w:pPr>
    </w:p>
    <w:p w:rsidR="00B97160" w:rsidRPr="00C33E17" w:rsidRDefault="00B97160" w:rsidP="00B97160">
      <w:pPr>
        <w:pStyle w:val="a9"/>
        <w:numPr>
          <w:ilvl w:val="0"/>
          <w:numId w:val="1"/>
        </w:numPr>
        <w:spacing w:line="360" w:lineRule="auto"/>
        <w:jc w:val="both"/>
        <w:rPr>
          <w:rFonts w:ascii="FrankRuehl" w:hAnsi="FrankRuehl" w:cs="FrankRuehl"/>
          <w:sz w:val="28"/>
          <w:szCs w:val="28"/>
          <w:rtl/>
        </w:rPr>
      </w:pPr>
      <w:r>
        <w:rPr>
          <w:rFonts w:ascii="FrankRuehl" w:hAnsi="FrankRuehl" w:cs="FrankRuehl" w:hint="cs"/>
          <w:sz w:val="28"/>
          <w:szCs w:val="28"/>
          <w:rtl/>
        </w:rPr>
        <w:t xml:space="preserve">אני מתיר פרסום החלטתי זו, ללא פרט מזהה כלשהו אודות הצדדים. </w:t>
      </w:r>
    </w:p>
    <w:p w:rsidR="00B97160" w:rsidRDefault="00B97160" w:rsidP="00B97160">
      <w:pPr>
        <w:rPr>
          <w:rFonts w:ascii="FrankRuehl" w:hAnsi="FrankRuehl" w:cs="FrankRuehl"/>
          <w:sz w:val="28"/>
          <w:szCs w:val="28"/>
          <w:rtl/>
        </w:rPr>
      </w:pPr>
    </w:p>
    <w:p w:rsidR="00B97160" w:rsidRDefault="00B97160" w:rsidP="00B97160">
      <w:pPr>
        <w:rPr>
          <w:rFonts w:ascii="FrankRuehl" w:hAnsi="FrankRuehl" w:cs="FrankRuehl"/>
          <w:sz w:val="28"/>
          <w:szCs w:val="28"/>
          <w:rtl/>
        </w:rPr>
      </w:pPr>
    </w:p>
    <w:p w:rsidR="00B97160" w:rsidRDefault="00B97160" w:rsidP="00B97160">
      <w:pPr>
        <w:rPr>
          <w:rFonts w:ascii="FrankRuehl" w:hAnsi="FrankRuehl" w:cs="FrankRuehl"/>
          <w:sz w:val="6"/>
          <w:szCs w:val="6"/>
        </w:rPr>
      </w:pPr>
      <w:r>
        <w:rPr>
          <w:rFonts w:ascii="FrankRuehl" w:hAnsi="FrankRuehl" w:cs="FrankRuehl"/>
          <w:sz w:val="6"/>
          <w:szCs w:val="6"/>
          <w:rtl/>
        </w:rPr>
        <w:t>&lt;#3#&gt;</w:t>
      </w:r>
    </w:p>
    <w:p w:rsidR="00B97160" w:rsidRDefault="00B97160" w:rsidP="00B97160">
      <w:pPr>
        <w:rPr>
          <w:rtl/>
        </w:rPr>
      </w:pPr>
    </w:p>
    <w:p w:rsidR="00B97160" w:rsidRDefault="00B97160" w:rsidP="00B97160">
      <w:pPr>
        <w:spacing w:line="360" w:lineRule="auto"/>
        <w:rPr>
          <w:rtl/>
        </w:rPr>
      </w:pPr>
      <w:r>
        <w:rPr>
          <w:rFonts w:hint="cs"/>
          <w:b/>
          <w:bCs/>
          <w:rtl/>
        </w:rPr>
        <w:t xml:space="preserve">ניתנה והודעה היום </w:t>
      </w:r>
      <w:sdt>
        <w:sdtPr>
          <w:rPr>
            <w:rtl/>
          </w:rPr>
          <w:alias w:val="2207"/>
          <w:tag w:val="2207"/>
          <w:id w:val="1329636924"/>
          <w:text w:multiLine="1"/>
        </w:sdtPr>
        <w:sdtEndPr/>
        <w:sdtContent>
          <w:r>
            <w:rPr>
              <w:b/>
              <w:bCs/>
              <w:rtl/>
            </w:rPr>
            <w:t>י"א אייר תשפ"ג</w:t>
          </w:r>
        </w:sdtContent>
      </w:sdt>
      <w:r>
        <w:rPr>
          <w:rFonts w:hint="cs"/>
          <w:b/>
          <w:bCs/>
          <w:rtl/>
        </w:rPr>
        <w:t xml:space="preserve">, </w:t>
      </w:r>
      <w:sdt>
        <w:sdtPr>
          <w:rPr>
            <w:rtl/>
          </w:rPr>
          <w:alias w:val="2206"/>
          <w:tag w:val="2206"/>
          <w:id w:val="-1474593809"/>
          <w:text w:multiLine="1"/>
        </w:sdtPr>
        <w:sdtEndPr/>
        <w:sdtContent>
          <w:r>
            <w:rPr>
              <w:b/>
              <w:bCs/>
            </w:rPr>
            <w:t>02/05/2023</w:t>
          </w:r>
        </w:sdtContent>
      </w:sdt>
      <w:r>
        <w:rPr>
          <w:rFonts w:hint="cs"/>
          <w:b/>
          <w:bCs/>
          <w:rtl/>
        </w:rPr>
        <w:t xml:space="preserve"> במעמד הנוכחים.</w:t>
      </w:r>
    </w:p>
    <w:p w:rsidR="00B97160" w:rsidRDefault="00B97160" w:rsidP="00B97160">
      <w:pPr>
        <w:rPr>
          <w:rtl/>
        </w:rPr>
      </w:pPr>
    </w:p>
    <w:tbl>
      <w:tblPr>
        <w:tblStyle w:val="a7"/>
        <w:bidiVisual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 w:firstRow="1" w:lastRow="1" w:firstColumn="1" w:lastColumn="1" w:noHBand="0" w:noVBand="0"/>
      </w:tblPr>
      <w:tblGrid>
        <w:gridCol w:w="3936"/>
      </w:tblGrid>
      <w:tr w:rsidR="00B97160" w:rsidTr="009C61F3">
        <w:trPr>
          <w:trHeight w:val="316"/>
          <w:jc w:val="right"/>
        </w:trPr>
        <w:tc>
          <w:tcPr>
            <w:tcW w:w="3936" w:type="dxa"/>
            <w:vAlign w:val="center"/>
          </w:tcPr>
          <w:p w:rsidR="00B97160" w:rsidRDefault="001E4B38" w:rsidP="009C61F3">
            <w:pPr>
              <w:jc w:val="center"/>
            </w:pPr>
            <w:sdt>
              <w:sdtPr>
                <w:rPr>
                  <w:rtl/>
                </w:rPr>
                <w:alias w:val="MergeField"/>
                <w:tag w:val="2144"/>
                <w:id w:val="1847676887"/>
              </w:sdtPr>
              <w:sdtEndPr/>
              <w:sdtContent>
                <w:r w:rsidR="00B97160">
                  <w:rPr>
                    <w:noProof/>
                  </w:rPr>
                  <w:drawing>
                    <wp:inline distT="0" distB="0" distL="0" distR="0" wp14:anchorId="03783EAF" wp14:editId="3709833C">
                      <wp:extent cx="1933574" cy="590550"/>
                      <wp:effectExtent l="0" t="0" r="0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2144.jpg"/>
                              <pic:cNvPicPr/>
                            </pic:nvPicPr>
                            <pic:blipFill>
                              <a:blip r:embed="rId7" cstate="print">
                                <a:extLst/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33574" cy="5905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 w:rsidR="00B97160" w:rsidRDefault="00B97160" w:rsidP="009C61F3">
            <w:pPr>
              <w:jc w:val="center"/>
              <w:rPr>
                <w:rtl/>
              </w:rPr>
            </w:pPr>
          </w:p>
        </w:tc>
      </w:tr>
      <w:tr w:rsidR="00B97160" w:rsidTr="009C61F3">
        <w:trPr>
          <w:trHeight w:val="361"/>
          <w:jc w:val="right"/>
        </w:trPr>
        <w:tc>
          <w:tcPr>
            <w:tcW w:w="3936" w:type="dxa"/>
            <w:vAlign w:val="center"/>
          </w:tcPr>
          <w:p w:rsidR="00B97160" w:rsidRPr="00C02017" w:rsidRDefault="001E4B38" w:rsidP="009C61F3">
            <w:pPr>
              <w:jc w:val="center"/>
              <w:rPr>
                <w:b/>
                <w:bCs/>
                <w:rtl/>
              </w:rPr>
            </w:pPr>
            <w:sdt>
              <w:sdtPr>
                <w:rPr>
                  <w:b/>
                  <w:bCs/>
                  <w:rtl/>
                </w:rPr>
                <w:alias w:val="2141"/>
                <w:tag w:val="2141"/>
                <w:id w:val="2119712613"/>
                <w:placeholder>
                  <w:docPart w:val="7E69246857304143AC65A143E2C9AEA2"/>
                </w:placeholder>
                <w:text w:multiLine="1"/>
              </w:sdtPr>
              <w:sdtEndPr/>
              <w:sdtContent>
                <w:r w:rsidR="00B97160">
                  <w:rPr>
                    <w:b/>
                    <w:bCs/>
                    <w:rtl/>
                  </w:rPr>
                  <w:t>ארז</w:t>
                </w:r>
              </w:sdtContent>
            </w:sdt>
            <w:r w:rsidR="00B97160" w:rsidRPr="00C02017">
              <w:rPr>
                <w:rFonts w:hint="cs"/>
                <w:b/>
                <w:bCs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rtl/>
                </w:rPr>
                <w:alias w:val="2142"/>
                <w:tag w:val="2142"/>
                <w:id w:val="-26639521"/>
                <w:placeholder>
                  <w:docPart w:val="BE7360514B6144E3A8BEB2CF81C5EBC9"/>
                </w:placeholder>
                <w:text w:multiLine="1"/>
              </w:sdtPr>
              <w:sdtEndPr/>
              <w:sdtContent>
                <w:r w:rsidR="00B97160">
                  <w:rPr>
                    <w:b/>
                    <w:bCs/>
                    <w:rtl/>
                  </w:rPr>
                  <w:t>שני</w:t>
                </w:r>
              </w:sdtContent>
            </w:sdt>
            <w:r w:rsidR="00B97160" w:rsidRPr="00C02017">
              <w:rPr>
                <w:rFonts w:hint="cs"/>
                <w:b/>
                <w:bCs/>
                <w:rtl/>
              </w:rPr>
              <w:t xml:space="preserve">, </w:t>
            </w:r>
            <w:sdt>
              <w:sdtPr>
                <w:rPr>
                  <w:rFonts w:hint="cs"/>
                  <w:b/>
                  <w:bCs/>
                  <w:rtl/>
                </w:rPr>
                <w:alias w:val="2143"/>
                <w:tag w:val="2143"/>
                <w:id w:val="1647695366"/>
                <w:placeholder>
                  <w:docPart w:val="3849A0A1265648DE90AC1F62A35F02DF"/>
                </w:placeholder>
                <w:text w:multiLine="1"/>
              </w:sdtPr>
              <w:sdtEndPr/>
              <w:sdtContent>
                <w:r w:rsidR="00B97160">
                  <w:rPr>
                    <w:b/>
                    <w:bCs/>
                    <w:rtl/>
                  </w:rPr>
                  <w:t>שופט</w:t>
                </w:r>
              </w:sdtContent>
            </w:sdt>
          </w:p>
        </w:tc>
      </w:tr>
    </w:tbl>
    <w:p w:rsidR="00B97160" w:rsidRDefault="00B97160" w:rsidP="00B97160">
      <w:pPr>
        <w:rPr>
          <w:rtl/>
        </w:rPr>
      </w:pPr>
    </w:p>
    <w:p w:rsidR="00A3276D" w:rsidRDefault="00A3276D"/>
    <w:sectPr w:rsidR="00A3276D" w:rsidSect="00BC00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701" w:bottom="1440" w:left="1701" w:header="567" w:footer="1157" w:gutter="0"/>
      <w:lnNumType w:countBy="1"/>
      <w:pgNumType w:start="2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B38" w:rsidRDefault="001E4B38">
      <w:r>
        <w:separator/>
      </w:r>
    </w:p>
  </w:endnote>
  <w:endnote w:type="continuationSeparator" w:id="0">
    <w:p w:rsidR="001E4B38" w:rsidRDefault="001E4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0F8" w:rsidRDefault="00B97160" w:rsidP="0072518D">
    <w:pPr>
      <w:pStyle w:val="a5"/>
      <w:framePr w:wrap="around" w:vAnchor="text" w:hAnchor="text" w:xAlign="center" w:y="1"/>
      <w:rPr>
        <w:rStyle w:val="a8"/>
      </w:rPr>
    </w:pPr>
    <w:r>
      <w:rPr>
        <w:rStyle w:val="a8"/>
        <w:rtl/>
      </w:rPr>
      <w:fldChar w:fldCharType="begin"/>
    </w:r>
    <w:r>
      <w:rPr>
        <w:rStyle w:val="a8"/>
      </w:rPr>
      <w:instrText xml:space="preserve"> PAGE </w:instrText>
    </w:r>
    <w:r>
      <w:rPr>
        <w:rStyle w:val="a8"/>
        <w:rtl/>
      </w:rPr>
      <w:fldChar w:fldCharType="separate"/>
    </w:r>
    <w:r>
      <w:rPr>
        <w:rStyle w:val="a8"/>
        <w:noProof/>
        <w:rtl/>
      </w:rPr>
      <w:t>2</w:t>
    </w:r>
    <w:r>
      <w:rPr>
        <w:rStyle w:val="a8"/>
        <w:rtl/>
      </w:rPr>
      <w:fldChar w:fldCharType="end"/>
    </w:r>
  </w:p>
  <w:p w:rsidR="00BC00F8" w:rsidRDefault="001E4B3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0F8" w:rsidRDefault="00B97160" w:rsidP="0072518D">
    <w:pPr>
      <w:pStyle w:val="a5"/>
      <w:framePr w:wrap="around" w:vAnchor="text" w:hAnchor="text" w:xAlign="center" w:y="1"/>
      <w:rPr>
        <w:rStyle w:val="a8"/>
      </w:rPr>
    </w:pPr>
    <w:r>
      <w:rPr>
        <w:rStyle w:val="a8"/>
        <w:rtl/>
      </w:rPr>
      <w:fldChar w:fldCharType="begin"/>
    </w:r>
    <w:r>
      <w:rPr>
        <w:rStyle w:val="a8"/>
      </w:rPr>
      <w:instrText xml:space="preserve"> PAGE </w:instrText>
    </w:r>
    <w:r>
      <w:rPr>
        <w:rStyle w:val="a8"/>
        <w:rtl/>
      </w:rPr>
      <w:fldChar w:fldCharType="separate"/>
    </w:r>
    <w:r w:rsidR="00E46D9D">
      <w:rPr>
        <w:rStyle w:val="a8"/>
        <w:noProof/>
        <w:rtl/>
      </w:rPr>
      <w:t>3</w:t>
    </w:r>
    <w:r>
      <w:rPr>
        <w:rStyle w:val="a8"/>
        <w:rtl/>
      </w:rPr>
      <w:fldChar w:fldCharType="end"/>
    </w:r>
  </w:p>
  <w:p w:rsidR="00BC00F8" w:rsidRDefault="001E4B3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435" w:rsidRDefault="00AD34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B38" w:rsidRDefault="001E4B38">
      <w:r>
        <w:separator/>
      </w:r>
    </w:p>
  </w:footnote>
  <w:footnote w:type="continuationSeparator" w:id="0">
    <w:p w:rsidR="001E4B38" w:rsidRDefault="001E4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435" w:rsidRDefault="00AD343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D9D" w:rsidRDefault="00B97160">
    <w:pPr>
      <w:pStyle w:val="a3"/>
      <w:tabs>
        <w:tab w:val="clear" w:pos="8306"/>
      </w:tabs>
      <w:jc w:val="center"/>
      <w:rPr>
        <w:rtl/>
      </w:rPr>
    </w:pPr>
    <w:r>
      <w:rPr>
        <w:noProof/>
      </w:rPr>
      <w:drawing>
        <wp:inline distT="0" distB="0" distL="0" distR="0" wp14:anchorId="4AE65BEA" wp14:editId="0260EA57">
          <wp:extent cx="516890" cy="572770"/>
          <wp:effectExtent l="0" t="0" r="0" b="0"/>
          <wp:docPr id="5" name="Picture 1" descr="Men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n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89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5527"/>
      <w:gridCol w:w="283"/>
      <w:gridCol w:w="2694"/>
    </w:tblGrid>
    <w:tr w:rsidR="00EB1D9D" w:rsidTr="00C93AE1">
      <w:trPr>
        <w:trHeight w:hRule="exact" w:val="418"/>
        <w:jc w:val="center"/>
      </w:trPr>
      <w:sdt>
        <w:sdtPr>
          <w:rPr>
            <w:rtl/>
          </w:rPr>
          <w:alias w:val="162"/>
          <w:tag w:val="162"/>
          <w:id w:val="1282998781"/>
          <w:text w:multiLine="1"/>
        </w:sdtPr>
        <w:sdtEndPr/>
        <w:sdtContent>
          <w:tc>
            <w:tcPr>
              <w:tcW w:w="8504" w:type="dxa"/>
              <w:gridSpan w:val="3"/>
            </w:tcPr>
            <w:p w:rsidR="00EB1D9D" w:rsidRDefault="00B97160">
              <w:pPr>
                <w:pStyle w:val="a3"/>
                <w:tabs>
                  <w:tab w:val="clear" w:pos="8306"/>
                </w:tabs>
                <w:jc w:val="center"/>
                <w:rPr>
                  <w:rFonts w:ascii="Tahoma" w:hAnsi="Tahoma" w:cs="Tahoma"/>
                  <w:b/>
                  <w:bCs/>
                  <w:color w:val="000080"/>
                  <w:sz w:val="20"/>
                  <w:szCs w:val="20"/>
                  <w:rtl/>
                </w:rPr>
              </w:pPr>
              <w:r>
                <w:rPr>
                  <w:rFonts w:ascii="Tahoma" w:hAnsi="Tahoma" w:cs="Tahoma"/>
                  <w:b/>
                  <w:bCs/>
                  <w:color w:val="000080"/>
                  <w:sz w:val="20"/>
                  <w:szCs w:val="20"/>
                  <w:rtl/>
                </w:rPr>
                <w:t>בית משפט לענייני משפחה בתל אביב - יפו</w:t>
              </w:r>
            </w:p>
          </w:tc>
        </w:sdtContent>
      </w:sdt>
    </w:tr>
    <w:tr w:rsidR="00EB1D9D" w:rsidTr="00C93AE1">
      <w:trPr>
        <w:trHeight w:val="337"/>
        <w:jc w:val="center"/>
      </w:trPr>
      <w:tc>
        <w:tcPr>
          <w:tcW w:w="5527" w:type="dxa"/>
        </w:tcPr>
        <w:p w:rsidR="007D4DDF" w:rsidRDefault="001E4B38" w:rsidP="00F21295">
          <w:pPr>
            <w:rPr>
              <w:b/>
              <w:bCs/>
              <w:sz w:val="26"/>
              <w:szCs w:val="26"/>
              <w:rtl/>
            </w:rPr>
          </w:pPr>
          <w:sdt>
            <w:sdtPr>
              <w:rPr>
                <w:b/>
                <w:bCs/>
                <w:sz w:val="26"/>
                <w:szCs w:val="26"/>
                <w:rtl/>
              </w:rPr>
              <w:alias w:val="849"/>
              <w:tag w:val="849"/>
              <w:id w:val="-1617746001"/>
              <w:text w:multiLine="1"/>
            </w:sdtPr>
            <w:sdtEndPr/>
            <w:sdtContent>
              <w:r w:rsidR="00B97160">
                <w:rPr>
                  <w:b/>
                  <w:bCs/>
                  <w:sz w:val="26"/>
                  <w:szCs w:val="26"/>
                  <w:rtl/>
                </w:rPr>
                <w:t>תלה"מ</w:t>
              </w:r>
            </w:sdtContent>
          </w:sdt>
          <w:r w:rsidR="00B97160">
            <w:rPr>
              <w:rFonts w:hint="cs"/>
              <w:b/>
              <w:bCs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sz w:val="26"/>
                <w:szCs w:val="26"/>
                <w:rtl/>
              </w:rPr>
              <w:alias w:val="158"/>
              <w:tag w:val="158"/>
              <w:id w:val="-1470517263"/>
              <w:text w:multiLine="1"/>
            </w:sdtPr>
            <w:sdtEndPr/>
            <w:sdtContent>
              <w:r w:rsidR="00B97160">
                <w:rPr>
                  <w:b/>
                  <w:bCs/>
                  <w:sz w:val="26"/>
                  <w:szCs w:val="26"/>
                  <w:rtl/>
                </w:rPr>
                <w:t>35190-04-23</w:t>
              </w:r>
            </w:sdtContent>
          </w:sdt>
          <w:r w:rsidR="00B97160">
            <w:rPr>
              <w:rFonts w:hint="cs"/>
              <w:b/>
              <w:bCs/>
              <w:sz w:val="26"/>
              <w:szCs w:val="26"/>
              <w:rtl/>
            </w:rPr>
            <w:t xml:space="preserve"> </w:t>
          </w:r>
          <w:r w:rsidR="00F21295">
            <w:rPr>
              <w:rFonts w:hint="cs"/>
              <w:b/>
              <w:bCs/>
              <w:sz w:val="26"/>
              <w:szCs w:val="26"/>
              <w:rtl/>
            </w:rPr>
            <w:t>פ. נ' ס.</w:t>
          </w:r>
        </w:p>
      </w:tc>
      <w:tc>
        <w:tcPr>
          <w:tcW w:w="283" w:type="dxa"/>
        </w:tcPr>
        <w:p w:rsidR="00EB1D9D" w:rsidRDefault="001E4B38">
          <w:pPr>
            <w:pStyle w:val="a3"/>
            <w:jc w:val="right"/>
            <w:rPr>
              <w:b/>
              <w:bCs/>
              <w:sz w:val="26"/>
              <w:szCs w:val="26"/>
              <w:rtl/>
            </w:rPr>
          </w:pPr>
        </w:p>
      </w:tc>
      <w:sdt>
        <w:sdtPr>
          <w:rPr>
            <w:b/>
            <w:bCs/>
            <w:sz w:val="26"/>
            <w:szCs w:val="26"/>
            <w:rtl/>
          </w:rPr>
          <w:alias w:val="2633"/>
          <w:tag w:val="2633"/>
          <w:id w:val="991297748"/>
          <w:text w:multiLine="1"/>
        </w:sdtPr>
        <w:sdtEndPr/>
        <w:sdtContent>
          <w:tc>
            <w:tcPr>
              <w:tcW w:w="2694" w:type="dxa"/>
            </w:tcPr>
            <w:p w:rsidR="00EB1D9D" w:rsidRDefault="00B97160" w:rsidP="00B24CA7">
              <w:pPr>
                <w:pStyle w:val="a3"/>
                <w:tabs>
                  <w:tab w:val="clear" w:pos="4153"/>
                </w:tabs>
                <w:jc w:val="right"/>
                <w:rPr>
                  <w:b/>
                  <w:bCs/>
                  <w:sz w:val="26"/>
                  <w:szCs w:val="26"/>
                  <w:rtl/>
                </w:rPr>
              </w:pPr>
              <w:r>
                <w:rPr>
                  <w:b/>
                  <w:bCs/>
                  <w:sz w:val="26"/>
                  <w:szCs w:val="26"/>
                  <w:rtl/>
                </w:rPr>
                <w:t>02 מאי 2023</w:t>
              </w:r>
            </w:p>
          </w:tc>
        </w:sdtContent>
      </w:sdt>
    </w:tr>
  </w:tbl>
  <w:p w:rsidR="00EB1D9D" w:rsidRDefault="001E4B38">
    <w:pPr>
      <w:pStyle w:val="a3"/>
      <w:jc w:val="center"/>
      <w:rPr>
        <w:rFonts w:ascii="Tahoma" w:hAnsi="Tahoma" w:cs="Tahoma"/>
        <w:b/>
        <w:bCs/>
        <w:color w:val="000080"/>
        <w:sz w:val="20"/>
        <w:szCs w:val="20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435" w:rsidRDefault="00AD343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4E7E58"/>
    <w:multiLevelType w:val="hybridMultilevel"/>
    <w:tmpl w:val="82C2DDFE"/>
    <w:lvl w:ilvl="0" w:tplc="0728E99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160"/>
    <w:rsid w:val="001E4B38"/>
    <w:rsid w:val="003079DC"/>
    <w:rsid w:val="003E31D7"/>
    <w:rsid w:val="00473F81"/>
    <w:rsid w:val="00656838"/>
    <w:rsid w:val="00A3276D"/>
    <w:rsid w:val="00AD3435"/>
    <w:rsid w:val="00B97160"/>
    <w:rsid w:val="00BE45AB"/>
    <w:rsid w:val="00CD6ADC"/>
    <w:rsid w:val="00E46D9D"/>
    <w:rsid w:val="00F10A9E"/>
    <w:rsid w:val="00F2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AA3567-A6F7-4618-BAD5-47BAECB37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160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7160"/>
    <w:pPr>
      <w:tabs>
        <w:tab w:val="center" w:pos="4153"/>
        <w:tab w:val="right" w:pos="8306"/>
      </w:tabs>
    </w:pPr>
  </w:style>
  <w:style w:type="character" w:customStyle="1" w:styleId="a4">
    <w:name w:val="כותרת עליונה תו"/>
    <w:basedOn w:val="a0"/>
    <w:link w:val="a3"/>
    <w:rsid w:val="00B97160"/>
    <w:rPr>
      <w:rFonts w:ascii="David" w:eastAsia="David" w:hAnsi="David" w:cs="David"/>
      <w:sz w:val="24"/>
      <w:szCs w:val="24"/>
    </w:rPr>
  </w:style>
  <w:style w:type="paragraph" w:styleId="a5">
    <w:name w:val="footer"/>
    <w:basedOn w:val="a"/>
    <w:link w:val="a6"/>
    <w:rsid w:val="00B97160"/>
    <w:pPr>
      <w:tabs>
        <w:tab w:val="center" w:pos="4153"/>
        <w:tab w:val="right" w:pos="8306"/>
      </w:tabs>
    </w:pPr>
  </w:style>
  <w:style w:type="character" w:customStyle="1" w:styleId="a6">
    <w:name w:val="כותרת תחתונה תו"/>
    <w:basedOn w:val="a0"/>
    <w:link w:val="a5"/>
    <w:rsid w:val="00B97160"/>
    <w:rPr>
      <w:rFonts w:ascii="David" w:eastAsia="David" w:hAnsi="David" w:cs="David"/>
      <w:sz w:val="24"/>
      <w:szCs w:val="24"/>
    </w:rPr>
  </w:style>
  <w:style w:type="table" w:styleId="a7">
    <w:name w:val="Table Grid"/>
    <w:basedOn w:val="a1"/>
    <w:rsid w:val="00B97160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B97160"/>
  </w:style>
  <w:style w:type="paragraph" w:customStyle="1" w:styleId="12">
    <w:name w:val="רגיל + ‏12 נק'"/>
    <w:aliases w:val="מיושר לשני הצדדים,מרווח בין שורות:  שורה וחצי"/>
    <w:basedOn w:val="a"/>
    <w:rsid w:val="00B97160"/>
    <w:rPr>
      <w:rFonts w:ascii="Times New Roman" w:eastAsia="Times New Roman" w:hAnsi="Times New Roman"/>
      <w:b/>
      <w:bCs/>
      <w:u w:val="single"/>
    </w:rPr>
  </w:style>
  <w:style w:type="paragraph" w:styleId="a9">
    <w:name w:val="List Paragraph"/>
    <w:basedOn w:val="a"/>
    <w:uiPriority w:val="34"/>
    <w:qFormat/>
    <w:rsid w:val="00B97160"/>
    <w:pPr>
      <w:ind w:left="720"/>
      <w:contextualSpacing/>
    </w:pPr>
  </w:style>
  <w:style w:type="character" w:styleId="aa">
    <w:name w:val="line number"/>
    <w:basedOn w:val="a0"/>
    <w:uiPriority w:val="99"/>
    <w:semiHidden/>
    <w:unhideWhenUsed/>
    <w:rsid w:val="00B97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E69246857304143AC65A143E2C9AEA2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8214BD4E-72E0-411B-A578-A00CE53887BC}"/>
      </w:docPartPr>
      <w:docPartBody>
        <w:p w:rsidR="00203639" w:rsidRDefault="00FB5C6F" w:rsidP="00FB5C6F">
          <w:pPr>
            <w:pStyle w:val="7E69246857304143AC65A143E2C9AEA2"/>
          </w:pPr>
          <w:r w:rsidRPr="002A7028">
            <w:rPr>
              <w:rFonts w:cs="David"/>
              <w:b/>
              <w:bCs/>
              <w:rtl/>
            </w:rPr>
            <w:t>שם פרטי חותם</w:t>
          </w:r>
        </w:p>
      </w:docPartBody>
    </w:docPart>
    <w:docPart>
      <w:docPartPr>
        <w:name w:val="BE7360514B6144E3A8BEB2CF81C5EBC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CDFECECE-AE7C-4AD3-90EF-CA2C518674A7}"/>
      </w:docPartPr>
      <w:docPartBody>
        <w:p w:rsidR="00203639" w:rsidRDefault="00FB5C6F" w:rsidP="00FB5C6F">
          <w:pPr>
            <w:pStyle w:val="BE7360514B6144E3A8BEB2CF81C5EBC9"/>
          </w:pPr>
          <w:r w:rsidRPr="002A7028">
            <w:rPr>
              <w:rFonts w:cs="David"/>
              <w:b/>
              <w:bCs/>
              <w:rtl/>
            </w:rPr>
            <w:t>שם משפחה חותם</w:t>
          </w:r>
        </w:p>
      </w:docPartBody>
    </w:docPart>
    <w:docPart>
      <w:docPartPr>
        <w:name w:val="3849A0A1265648DE90AC1F62A35F02DF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38DD747-3732-40B9-A07C-0DFAA228B50D}"/>
      </w:docPartPr>
      <w:docPartBody>
        <w:p w:rsidR="00203639" w:rsidRDefault="00FB5C6F" w:rsidP="00FB5C6F">
          <w:pPr>
            <w:pStyle w:val="3849A0A1265648DE90AC1F62A35F02DF"/>
          </w:pPr>
          <w:r w:rsidRPr="002A7028">
            <w:rPr>
              <w:rFonts w:cs="David"/>
              <w:b/>
              <w:bCs/>
              <w:rtl/>
            </w:rPr>
            <w:t>מעמד חותם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C6F"/>
    <w:rsid w:val="00203639"/>
    <w:rsid w:val="00881C46"/>
    <w:rsid w:val="0092349F"/>
    <w:rsid w:val="00C95F64"/>
    <w:rsid w:val="00FB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E69246857304143AC65A143E2C9AEA2">
    <w:name w:val="7E69246857304143AC65A143E2C9AEA2"/>
    <w:rsid w:val="00FB5C6F"/>
    <w:pPr>
      <w:bidi/>
    </w:pPr>
  </w:style>
  <w:style w:type="paragraph" w:customStyle="1" w:styleId="BE7360514B6144E3A8BEB2CF81C5EBC9">
    <w:name w:val="BE7360514B6144E3A8BEB2CF81C5EBC9"/>
    <w:rsid w:val="00FB5C6F"/>
    <w:pPr>
      <w:bidi/>
    </w:pPr>
  </w:style>
  <w:style w:type="paragraph" w:customStyle="1" w:styleId="3849A0A1265648DE90AC1F62A35F02DF">
    <w:name w:val="3849A0A1265648DE90AC1F62A35F02DF"/>
    <w:rsid w:val="00FB5C6F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2093</Words>
  <Characters>10468</Characters>
  <Application>Microsoft Office Word</Application>
  <DocSecurity>0</DocSecurity>
  <Lines>87</Lines>
  <Paragraphs>25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דלית קוכמן</dc:creator>
  <cp:keywords/>
  <dc:description/>
  <cp:lastModifiedBy>אסתר טטרואשילי</cp:lastModifiedBy>
  <cp:revision>2</cp:revision>
  <dcterms:created xsi:type="dcterms:W3CDTF">2023-06-04T10:10:00Z</dcterms:created>
  <dcterms:modified xsi:type="dcterms:W3CDTF">2023-06-04T10:10:00Z</dcterms:modified>
</cp:coreProperties>
</file>